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53" w:rsidRDefault="00933753" w:rsidP="00933753">
      <w:pPr>
        <w:ind w:firstLine="709"/>
        <w:jc w:val="center"/>
        <w:rPr>
          <w:b/>
          <w:sz w:val="26"/>
          <w:szCs w:val="26"/>
          <w:u w:val="single"/>
        </w:rPr>
      </w:pPr>
      <w:bookmarkStart w:id="0" w:name="_GoBack"/>
      <w:bookmarkEnd w:id="0"/>
      <w:r w:rsidRPr="00D465C3">
        <w:rPr>
          <w:b/>
          <w:sz w:val="26"/>
          <w:szCs w:val="26"/>
          <w:u w:val="single"/>
        </w:rPr>
        <w:t>Промышленность Северо-Енисейского района</w:t>
      </w:r>
    </w:p>
    <w:p w:rsidR="00933753" w:rsidRPr="00D465C3" w:rsidRDefault="00933753" w:rsidP="00933753">
      <w:pPr>
        <w:ind w:firstLine="709"/>
        <w:jc w:val="center"/>
        <w:rPr>
          <w:b/>
          <w:sz w:val="26"/>
          <w:szCs w:val="26"/>
          <w:u w:val="single"/>
        </w:rPr>
      </w:pPr>
    </w:p>
    <w:p w:rsidR="00933753" w:rsidRPr="00D465C3" w:rsidRDefault="00933753" w:rsidP="00933753">
      <w:pPr>
        <w:ind w:firstLine="709"/>
        <w:jc w:val="both"/>
        <w:rPr>
          <w:sz w:val="26"/>
          <w:szCs w:val="26"/>
        </w:rPr>
      </w:pPr>
      <w:r w:rsidRPr="00D465C3">
        <w:rPr>
          <w:b/>
          <w:sz w:val="26"/>
          <w:szCs w:val="26"/>
        </w:rPr>
        <w:t xml:space="preserve">Северо-Енисейский район </w:t>
      </w:r>
      <w:r w:rsidRPr="00D465C3">
        <w:rPr>
          <w:sz w:val="26"/>
          <w:szCs w:val="26"/>
        </w:rPr>
        <w:t xml:space="preserve">– </w:t>
      </w:r>
      <w:r w:rsidRPr="00D465C3">
        <w:rPr>
          <w:sz w:val="26"/>
          <w:szCs w:val="26"/>
          <w:u w:val="single"/>
        </w:rPr>
        <w:t>это динамично развивающаяся территория Красноярского края. Район – донор с высоким налоговым потенциалом, высокоэффективным промышленным производством</w:t>
      </w:r>
      <w:r w:rsidRPr="00D465C3">
        <w:rPr>
          <w:sz w:val="26"/>
          <w:szCs w:val="26"/>
        </w:rPr>
        <w:t>.</w:t>
      </w:r>
    </w:p>
    <w:p w:rsidR="00933753" w:rsidRPr="00D465C3" w:rsidRDefault="00933753" w:rsidP="00933753">
      <w:pPr>
        <w:ind w:firstLine="709"/>
        <w:jc w:val="both"/>
        <w:rPr>
          <w:sz w:val="26"/>
          <w:szCs w:val="26"/>
        </w:rPr>
      </w:pPr>
      <w:r w:rsidRPr="00D465C3">
        <w:rPr>
          <w:sz w:val="26"/>
          <w:szCs w:val="26"/>
        </w:rPr>
        <w:t>Исторически сложилось так, что промышленная и социальная сфера района формируются на основных местах золотодобычи.</w:t>
      </w:r>
    </w:p>
    <w:p w:rsidR="00933753" w:rsidRPr="00D465C3" w:rsidRDefault="00933753" w:rsidP="00933753">
      <w:pPr>
        <w:ind w:firstLine="709"/>
        <w:jc w:val="both"/>
        <w:rPr>
          <w:sz w:val="26"/>
          <w:szCs w:val="26"/>
        </w:rPr>
      </w:pPr>
      <w:r w:rsidRPr="00D465C3">
        <w:rPr>
          <w:sz w:val="26"/>
          <w:szCs w:val="26"/>
        </w:rPr>
        <w:t xml:space="preserve">Промышленность Северо-Енисейского района – </w:t>
      </w:r>
      <w:proofErr w:type="spellStart"/>
      <w:r w:rsidRPr="00D465C3">
        <w:rPr>
          <w:sz w:val="26"/>
          <w:szCs w:val="26"/>
        </w:rPr>
        <w:t>моноотраслевая</w:t>
      </w:r>
      <w:proofErr w:type="spellEnd"/>
      <w:r w:rsidRPr="00D465C3">
        <w:rPr>
          <w:sz w:val="26"/>
          <w:szCs w:val="26"/>
        </w:rPr>
        <w:t xml:space="preserve">, так как золотодобывающая промышленность является основной отраслью экономики района. На долю золотодобывающей отрасли приходится свыше </w:t>
      </w:r>
      <w:r w:rsidRPr="00D465C3">
        <w:rPr>
          <w:b/>
          <w:sz w:val="26"/>
          <w:szCs w:val="26"/>
        </w:rPr>
        <w:t>98,5%</w:t>
      </w:r>
      <w:r w:rsidRPr="00D465C3">
        <w:rPr>
          <w:sz w:val="26"/>
          <w:szCs w:val="26"/>
        </w:rPr>
        <w:t xml:space="preserve"> от общего объема промышленного производства в районе.</w:t>
      </w:r>
    </w:p>
    <w:p w:rsidR="00933753" w:rsidRPr="00D465C3" w:rsidRDefault="00933753" w:rsidP="00933753">
      <w:pPr>
        <w:ind w:firstLine="709"/>
        <w:jc w:val="both"/>
        <w:rPr>
          <w:sz w:val="26"/>
          <w:szCs w:val="26"/>
        </w:rPr>
      </w:pPr>
      <w:r w:rsidRPr="00D465C3">
        <w:rPr>
          <w:sz w:val="26"/>
          <w:szCs w:val="26"/>
        </w:rPr>
        <w:t>В Северо-Енисейском районе эксплуатируются месторождения россыпного и рудного золота Северо-Енисейского кряжа. Приоритетное место (свыше 90% по прогнозным ресурсам) составляют месторождения рудного золота.</w:t>
      </w:r>
    </w:p>
    <w:p w:rsidR="00933753" w:rsidRPr="00D465C3" w:rsidRDefault="00933753" w:rsidP="00933753">
      <w:pPr>
        <w:ind w:firstLine="709"/>
        <w:jc w:val="both"/>
        <w:rPr>
          <w:sz w:val="26"/>
          <w:szCs w:val="26"/>
        </w:rPr>
      </w:pPr>
      <w:r w:rsidRPr="00D465C3">
        <w:rPr>
          <w:sz w:val="26"/>
          <w:szCs w:val="26"/>
        </w:rPr>
        <w:t>Основными золотодобывающими предприятиями, действующими на территории района, являются АО «Полюс Красноярск», ООО «Соврудник», ООО «АС «Прииск Дражный», филиал Северная геологоразведочная экспедиция ОАО «Красноярская горно-геологическая компания», ООО ГРК «</w:t>
      </w:r>
      <w:proofErr w:type="spellStart"/>
      <w:r w:rsidRPr="00D465C3">
        <w:rPr>
          <w:sz w:val="26"/>
          <w:szCs w:val="26"/>
        </w:rPr>
        <w:t>Амикан</w:t>
      </w:r>
      <w:proofErr w:type="spellEnd"/>
      <w:r w:rsidRPr="00D465C3">
        <w:rPr>
          <w:sz w:val="26"/>
          <w:szCs w:val="26"/>
        </w:rPr>
        <w:t>».</w:t>
      </w:r>
    </w:p>
    <w:p w:rsidR="00933753" w:rsidRPr="00D465C3" w:rsidRDefault="00933753" w:rsidP="00933753">
      <w:pPr>
        <w:ind w:firstLine="709"/>
        <w:jc w:val="both"/>
        <w:rPr>
          <w:sz w:val="26"/>
          <w:szCs w:val="26"/>
        </w:rPr>
      </w:pPr>
      <w:r w:rsidRPr="00D465C3">
        <w:rPr>
          <w:sz w:val="26"/>
          <w:szCs w:val="26"/>
        </w:rPr>
        <w:t xml:space="preserve">Прочая промышленная продукция в районе производится для целей внутрирайонного потребления. К данным видам производств относится – производство хлеба и хлебобулочных изделий, обработка древесины и производство изделий из дерева, производство воды, </w:t>
      </w:r>
      <w:proofErr w:type="spellStart"/>
      <w:r w:rsidRPr="00D465C3">
        <w:rPr>
          <w:sz w:val="26"/>
          <w:szCs w:val="26"/>
        </w:rPr>
        <w:t>теплоэнергии</w:t>
      </w:r>
      <w:proofErr w:type="spellEnd"/>
      <w:r w:rsidRPr="00D465C3">
        <w:rPr>
          <w:sz w:val="26"/>
          <w:szCs w:val="26"/>
        </w:rPr>
        <w:t>, электроэнергии, производство бланочной продукции.</w:t>
      </w:r>
    </w:p>
    <w:p w:rsidR="00933753" w:rsidRPr="00D465C3" w:rsidRDefault="00933753" w:rsidP="00933753">
      <w:pPr>
        <w:ind w:firstLine="709"/>
        <w:jc w:val="both"/>
        <w:rPr>
          <w:sz w:val="26"/>
          <w:szCs w:val="26"/>
        </w:rPr>
      </w:pPr>
      <w:r w:rsidRPr="00D465C3">
        <w:rPr>
          <w:sz w:val="26"/>
          <w:szCs w:val="26"/>
        </w:rPr>
        <w:t>Наиболее крупными предприятиями, занимающимися заготовкой и вывозкой древесины являются: муниципальное унитарное предприятие «Управление коммуникационным комплексом Северо-Енисейского района», ООО «ДОК «Енисей», ООО «</w:t>
      </w:r>
      <w:proofErr w:type="spellStart"/>
      <w:r w:rsidRPr="00D465C3">
        <w:rPr>
          <w:sz w:val="26"/>
          <w:szCs w:val="26"/>
        </w:rPr>
        <w:t>ЛесКом</w:t>
      </w:r>
      <w:proofErr w:type="spellEnd"/>
      <w:r w:rsidRPr="00D465C3">
        <w:rPr>
          <w:sz w:val="26"/>
          <w:szCs w:val="26"/>
        </w:rPr>
        <w:t>».</w:t>
      </w:r>
    </w:p>
    <w:p w:rsidR="00933753" w:rsidRDefault="00933753" w:rsidP="00933753">
      <w:pPr>
        <w:ind w:firstLine="709"/>
        <w:jc w:val="both"/>
        <w:rPr>
          <w:sz w:val="26"/>
          <w:szCs w:val="26"/>
        </w:rPr>
      </w:pPr>
      <w:r w:rsidRPr="00D465C3">
        <w:rPr>
          <w:sz w:val="26"/>
          <w:szCs w:val="26"/>
        </w:rPr>
        <w:t>Производство хлеба и хлебобулочных изделий осуществляет муниципальное предприятие «Хлебопек».</w:t>
      </w:r>
    </w:p>
    <w:p w:rsidR="00933753" w:rsidRDefault="00933753" w:rsidP="009337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Производство воды и </w:t>
      </w:r>
      <w:proofErr w:type="spellStart"/>
      <w:r>
        <w:rPr>
          <w:sz w:val="26"/>
          <w:szCs w:val="26"/>
        </w:rPr>
        <w:t>теплоэнергии</w:t>
      </w:r>
      <w:proofErr w:type="spellEnd"/>
      <w:r>
        <w:rPr>
          <w:sz w:val="26"/>
          <w:szCs w:val="26"/>
        </w:rPr>
        <w:t xml:space="preserve"> осуществляет муниципальное унитарное предприятие «УККР».</w:t>
      </w:r>
    </w:p>
    <w:p w:rsidR="00933753" w:rsidRPr="00D465C3" w:rsidRDefault="00933753" w:rsidP="009337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Производство бланочной продукции осуществляет МКУ «</w:t>
      </w:r>
      <w:proofErr w:type="spellStart"/>
      <w:r>
        <w:rPr>
          <w:sz w:val="26"/>
          <w:szCs w:val="26"/>
        </w:rPr>
        <w:t>Семис</w:t>
      </w:r>
      <w:proofErr w:type="spellEnd"/>
      <w:r>
        <w:rPr>
          <w:sz w:val="26"/>
          <w:szCs w:val="26"/>
        </w:rPr>
        <w:t>»</w:t>
      </w:r>
    </w:p>
    <w:p w:rsidR="00933753" w:rsidRPr="00D465C3" w:rsidRDefault="00933753" w:rsidP="00933753">
      <w:pPr>
        <w:ind w:firstLine="709"/>
        <w:jc w:val="both"/>
        <w:rPr>
          <w:sz w:val="26"/>
          <w:szCs w:val="26"/>
        </w:rPr>
      </w:pPr>
      <w:r w:rsidRPr="00D465C3">
        <w:rPr>
          <w:b/>
          <w:sz w:val="26"/>
          <w:szCs w:val="26"/>
        </w:rPr>
        <w:t>В 2022 году производство основных видов промышленной продукции</w:t>
      </w:r>
      <w:r w:rsidRPr="00D465C3">
        <w:rPr>
          <w:sz w:val="26"/>
          <w:szCs w:val="26"/>
        </w:rPr>
        <w:t xml:space="preserve"> Северо-Енисейского района в натуральном выражении составило:</w:t>
      </w:r>
    </w:p>
    <w:p w:rsidR="00933753" w:rsidRPr="00D465C3" w:rsidRDefault="00933753" w:rsidP="00933753">
      <w:pPr>
        <w:ind w:firstLine="709"/>
        <w:jc w:val="both"/>
        <w:rPr>
          <w:sz w:val="26"/>
          <w:szCs w:val="26"/>
        </w:rPr>
      </w:pPr>
      <w:r w:rsidRPr="00D465C3">
        <w:rPr>
          <w:sz w:val="26"/>
          <w:szCs w:val="26"/>
        </w:rPr>
        <w:t xml:space="preserve">- добыча золота – 50,04 </w:t>
      </w:r>
      <w:proofErr w:type="spellStart"/>
      <w:r w:rsidRPr="00D465C3">
        <w:rPr>
          <w:sz w:val="26"/>
          <w:szCs w:val="26"/>
        </w:rPr>
        <w:t>тн</w:t>
      </w:r>
      <w:proofErr w:type="spellEnd"/>
      <w:r w:rsidRPr="00D465C3">
        <w:rPr>
          <w:sz w:val="26"/>
          <w:szCs w:val="26"/>
        </w:rPr>
        <w:t>.;</w:t>
      </w:r>
    </w:p>
    <w:p w:rsidR="00933753" w:rsidRPr="00D465C3" w:rsidRDefault="00933753" w:rsidP="00933753">
      <w:pPr>
        <w:ind w:firstLine="709"/>
        <w:jc w:val="both"/>
        <w:rPr>
          <w:sz w:val="26"/>
          <w:szCs w:val="26"/>
        </w:rPr>
      </w:pPr>
      <w:r w:rsidRPr="00D465C3">
        <w:rPr>
          <w:sz w:val="26"/>
          <w:szCs w:val="26"/>
        </w:rPr>
        <w:t>- заготовка древесины – 660,0 тыс. куб.м.;</w:t>
      </w:r>
    </w:p>
    <w:p w:rsidR="00933753" w:rsidRPr="00454DE9" w:rsidRDefault="00933753" w:rsidP="00933753">
      <w:pPr>
        <w:ind w:firstLine="709"/>
        <w:jc w:val="both"/>
        <w:rPr>
          <w:sz w:val="26"/>
          <w:szCs w:val="26"/>
        </w:rPr>
      </w:pPr>
      <w:r w:rsidRPr="00D465C3">
        <w:rPr>
          <w:sz w:val="26"/>
          <w:szCs w:val="26"/>
        </w:rPr>
        <w:t xml:space="preserve">- деловая древесина – 560,0 тыс. куб.м.;  </w:t>
      </w:r>
    </w:p>
    <w:p w:rsidR="00933753" w:rsidRPr="00D358CD" w:rsidRDefault="00933753" w:rsidP="00933753">
      <w:pPr>
        <w:ind w:firstLine="709"/>
        <w:jc w:val="both"/>
        <w:rPr>
          <w:sz w:val="26"/>
          <w:szCs w:val="26"/>
        </w:rPr>
      </w:pPr>
      <w:r w:rsidRPr="00D358CD">
        <w:rPr>
          <w:sz w:val="26"/>
          <w:szCs w:val="26"/>
        </w:rPr>
        <w:t xml:space="preserve">- хлеб и хлебобулочные изделия – 446,6 </w:t>
      </w:r>
      <w:proofErr w:type="spellStart"/>
      <w:r w:rsidRPr="00D358CD">
        <w:rPr>
          <w:sz w:val="26"/>
          <w:szCs w:val="26"/>
        </w:rPr>
        <w:t>тн</w:t>
      </w:r>
      <w:proofErr w:type="spellEnd"/>
      <w:r w:rsidRPr="00D358CD">
        <w:rPr>
          <w:sz w:val="26"/>
          <w:szCs w:val="26"/>
        </w:rPr>
        <w:t>.;</w:t>
      </w:r>
    </w:p>
    <w:p w:rsidR="00933753" w:rsidRPr="00010AE8" w:rsidRDefault="00933753" w:rsidP="00933753">
      <w:pPr>
        <w:ind w:firstLine="709"/>
        <w:jc w:val="both"/>
        <w:rPr>
          <w:sz w:val="26"/>
          <w:szCs w:val="26"/>
        </w:rPr>
      </w:pPr>
      <w:r w:rsidRPr="00010AE8">
        <w:rPr>
          <w:sz w:val="26"/>
          <w:szCs w:val="26"/>
        </w:rPr>
        <w:t>- оборот розничной торговли – 1 137,6 млн. руб.;</w:t>
      </w:r>
    </w:p>
    <w:p w:rsidR="00933753" w:rsidRPr="00010AE8" w:rsidRDefault="00933753" w:rsidP="00933753">
      <w:pPr>
        <w:ind w:firstLine="709"/>
        <w:jc w:val="both"/>
        <w:rPr>
          <w:sz w:val="26"/>
          <w:szCs w:val="26"/>
        </w:rPr>
      </w:pPr>
      <w:r w:rsidRPr="00010AE8">
        <w:rPr>
          <w:sz w:val="26"/>
          <w:szCs w:val="26"/>
        </w:rPr>
        <w:t>- оборот общественного питания – 1 714,1 млн. руб.</w:t>
      </w:r>
    </w:p>
    <w:p w:rsidR="00933753" w:rsidRDefault="00933753" w:rsidP="00933753">
      <w:pPr>
        <w:pBdr>
          <w:left w:val="none" w:sz="4" w:space="2" w:color="000000"/>
          <w:bottom w:val="none" w:sz="4" w:space="2" w:color="000000"/>
        </w:pBdr>
        <w:ind w:firstLine="709"/>
        <w:jc w:val="both"/>
        <w:rPr>
          <w:sz w:val="26"/>
          <w:szCs w:val="26"/>
        </w:rPr>
      </w:pPr>
      <w:r w:rsidRPr="00D358CD">
        <w:rPr>
          <w:sz w:val="26"/>
          <w:szCs w:val="26"/>
        </w:rPr>
        <w:t xml:space="preserve">Малое предпринимательство в Северо-Енисейском районе  представлено в небольшом объеме, в основном, в сфере торговли, </w:t>
      </w:r>
      <w:proofErr w:type="spellStart"/>
      <w:r w:rsidRPr="00D358CD">
        <w:rPr>
          <w:sz w:val="26"/>
          <w:szCs w:val="26"/>
        </w:rPr>
        <w:t>пассажиро</w:t>
      </w:r>
      <w:proofErr w:type="spellEnd"/>
      <w:r w:rsidRPr="00D358CD">
        <w:rPr>
          <w:sz w:val="26"/>
          <w:szCs w:val="26"/>
        </w:rPr>
        <w:t xml:space="preserve">  и грузоперевозок, и предоставления услуг населению, в том числе бытовых.</w:t>
      </w:r>
    </w:p>
    <w:p w:rsidR="00933753" w:rsidRDefault="00933753" w:rsidP="00933753">
      <w:pPr>
        <w:pBdr>
          <w:left w:val="none" w:sz="4" w:space="2" w:color="000000"/>
          <w:bottom w:val="none" w:sz="4" w:space="2" w:color="000000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территории Северо-Енисейского района зарегистрировано </w:t>
      </w:r>
      <w:r w:rsidRPr="00226383">
        <w:rPr>
          <w:b/>
          <w:sz w:val="26"/>
          <w:szCs w:val="26"/>
          <w:u w:val="single"/>
        </w:rPr>
        <w:t>187 ед.</w:t>
      </w:r>
      <w:r>
        <w:rPr>
          <w:sz w:val="26"/>
          <w:szCs w:val="26"/>
        </w:rPr>
        <w:t xml:space="preserve"> субъектов малого и среднего предпринимательства (включая </w:t>
      </w:r>
      <w:proofErr w:type="spellStart"/>
      <w:r>
        <w:rPr>
          <w:sz w:val="26"/>
          <w:szCs w:val="26"/>
        </w:rPr>
        <w:t>микропредприятия</w:t>
      </w:r>
      <w:proofErr w:type="spellEnd"/>
      <w:r>
        <w:rPr>
          <w:sz w:val="26"/>
          <w:szCs w:val="26"/>
        </w:rPr>
        <w:t xml:space="preserve">), юридических лиц и индивидуальных предпринимателей из них: </w:t>
      </w:r>
    </w:p>
    <w:p w:rsidR="00933753" w:rsidRDefault="00933753" w:rsidP="00933753">
      <w:pPr>
        <w:pBdr>
          <w:left w:val="none" w:sz="4" w:space="2" w:color="000000"/>
          <w:bottom w:val="none" w:sz="4" w:space="2" w:color="000000"/>
        </w:pBdr>
        <w:ind w:firstLine="709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Индивидуальных предпринимателей  - </w:t>
      </w:r>
      <w:r w:rsidRPr="00226383">
        <w:rPr>
          <w:b/>
          <w:sz w:val="26"/>
          <w:szCs w:val="26"/>
          <w:u w:val="single"/>
        </w:rPr>
        <w:t xml:space="preserve">149 </w:t>
      </w:r>
      <w:r>
        <w:rPr>
          <w:b/>
          <w:sz w:val="26"/>
          <w:szCs w:val="26"/>
          <w:u w:val="single"/>
        </w:rPr>
        <w:t>ед.;</w:t>
      </w:r>
    </w:p>
    <w:p w:rsidR="00933753" w:rsidRDefault="00933753" w:rsidP="00933753">
      <w:pPr>
        <w:pBdr>
          <w:left w:val="none" w:sz="4" w:space="2" w:color="000000"/>
          <w:bottom w:val="none" w:sz="4" w:space="2" w:color="000000"/>
        </w:pBdr>
        <w:ind w:firstLine="709"/>
        <w:jc w:val="both"/>
        <w:rPr>
          <w:b/>
          <w:sz w:val="26"/>
          <w:szCs w:val="26"/>
          <w:u w:val="single"/>
        </w:rPr>
      </w:pPr>
      <w:r w:rsidRPr="00226383">
        <w:rPr>
          <w:sz w:val="26"/>
          <w:szCs w:val="26"/>
        </w:rPr>
        <w:t xml:space="preserve">Малые и </w:t>
      </w:r>
      <w:proofErr w:type="spellStart"/>
      <w:r w:rsidRPr="00226383">
        <w:rPr>
          <w:sz w:val="26"/>
          <w:szCs w:val="26"/>
        </w:rPr>
        <w:t>микропредприятия</w:t>
      </w:r>
      <w:proofErr w:type="spellEnd"/>
      <w:r>
        <w:rPr>
          <w:sz w:val="26"/>
          <w:szCs w:val="26"/>
        </w:rPr>
        <w:t xml:space="preserve"> – </w:t>
      </w:r>
      <w:r w:rsidRPr="00226383">
        <w:rPr>
          <w:b/>
          <w:sz w:val="26"/>
          <w:szCs w:val="26"/>
          <w:u w:val="single"/>
        </w:rPr>
        <w:t>37 ед.</w:t>
      </w:r>
      <w:r>
        <w:rPr>
          <w:b/>
          <w:sz w:val="26"/>
          <w:szCs w:val="26"/>
          <w:u w:val="single"/>
        </w:rPr>
        <w:t>;</w:t>
      </w:r>
    </w:p>
    <w:p w:rsidR="00933753" w:rsidRPr="00226383" w:rsidRDefault="00933753" w:rsidP="00933753">
      <w:pPr>
        <w:pBdr>
          <w:left w:val="none" w:sz="4" w:space="2" w:color="000000"/>
          <w:bottom w:val="none" w:sz="4" w:space="2" w:color="000000"/>
        </w:pBdr>
        <w:ind w:firstLine="709"/>
        <w:jc w:val="both"/>
        <w:rPr>
          <w:sz w:val="26"/>
          <w:szCs w:val="26"/>
        </w:rPr>
      </w:pPr>
      <w:r w:rsidRPr="00226383">
        <w:rPr>
          <w:sz w:val="26"/>
          <w:szCs w:val="26"/>
        </w:rPr>
        <w:t xml:space="preserve">Средние предприятия </w:t>
      </w:r>
      <w:r>
        <w:rPr>
          <w:sz w:val="26"/>
          <w:szCs w:val="26"/>
        </w:rPr>
        <w:t>–</w:t>
      </w:r>
      <w:r w:rsidRPr="00226383">
        <w:rPr>
          <w:sz w:val="26"/>
          <w:szCs w:val="26"/>
        </w:rPr>
        <w:t xml:space="preserve"> </w:t>
      </w:r>
      <w:r w:rsidRPr="00226383">
        <w:rPr>
          <w:b/>
          <w:sz w:val="26"/>
          <w:szCs w:val="26"/>
          <w:u w:val="single"/>
        </w:rPr>
        <w:t>1 ед.</w:t>
      </w:r>
    </w:p>
    <w:p w:rsidR="00933753" w:rsidRDefault="00933753" w:rsidP="009337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6"/>
          <w:szCs w:val="26"/>
          <w:lang w:eastAsia="ru-RU"/>
        </w:rPr>
      </w:pPr>
    </w:p>
    <w:p w:rsidR="00933753" w:rsidRPr="008727FF" w:rsidRDefault="00933753" w:rsidP="009337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6"/>
          <w:szCs w:val="26"/>
          <w:lang w:eastAsia="ru-RU"/>
        </w:rPr>
      </w:pPr>
      <w:r w:rsidRPr="008727FF">
        <w:rPr>
          <w:rFonts w:ascii="Times New Roman CYR" w:hAnsi="Times New Roman CYR" w:cs="Times New Roman CYR"/>
          <w:b/>
          <w:sz w:val="26"/>
          <w:szCs w:val="26"/>
          <w:lang w:eastAsia="ru-RU"/>
        </w:rPr>
        <w:t>Показатель «Объем инвестиций в основной капитал (за исключением бюджетных средств) в расчете на 1 жителя»</w:t>
      </w:r>
    </w:p>
    <w:p w:rsidR="00933753" w:rsidRPr="00D957D1" w:rsidRDefault="00933753" w:rsidP="009337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6"/>
          <w:szCs w:val="26"/>
          <w:highlight w:val="yellow"/>
          <w:lang w:eastAsia="ru-RU"/>
        </w:rPr>
      </w:pPr>
    </w:p>
    <w:p w:rsidR="00933753" w:rsidRDefault="00933753" w:rsidP="0093375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1F5A39">
        <w:rPr>
          <w:rFonts w:ascii="Times New Roman CYR" w:hAnsi="Times New Roman CYR" w:cs="Times New Roman CYR"/>
          <w:sz w:val="26"/>
          <w:szCs w:val="26"/>
          <w:lang w:eastAsia="ru-RU"/>
        </w:rPr>
        <w:t xml:space="preserve">По данным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Красноярскстата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за </w:t>
      </w:r>
      <w:r w:rsidRPr="002D3A33">
        <w:rPr>
          <w:rFonts w:ascii="Times New Roman CYR" w:hAnsi="Times New Roman CYR" w:cs="Times New Roman CYR"/>
          <w:sz w:val="26"/>
          <w:szCs w:val="26"/>
          <w:lang w:eastAsia="ru-RU"/>
        </w:rPr>
        <w:t>202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2</w:t>
      </w:r>
      <w:r w:rsidRPr="002D3A33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год объем инвестиций в основной капитал за счет всех источников финансирования составил </w:t>
      </w:r>
      <w:r>
        <w:rPr>
          <w:rFonts w:ascii="Times New Roman CYR" w:hAnsi="Times New Roman CYR" w:cs="Times New Roman CYR"/>
          <w:b/>
          <w:sz w:val="26"/>
          <w:szCs w:val="26"/>
          <w:lang w:eastAsia="ru-RU"/>
        </w:rPr>
        <w:t>20 868 539,00</w:t>
      </w:r>
      <w:r w:rsidRPr="001F5A39">
        <w:rPr>
          <w:rFonts w:ascii="Times New Roman CYR" w:hAnsi="Times New Roman CYR" w:cs="Times New Roman CYR"/>
          <w:b/>
          <w:sz w:val="26"/>
          <w:szCs w:val="26"/>
          <w:lang w:eastAsia="ru-RU"/>
        </w:rPr>
        <w:t xml:space="preserve"> </w:t>
      </w:r>
      <w:r w:rsidRPr="001F5A39">
        <w:rPr>
          <w:rFonts w:ascii="Times New Roman CYR" w:hAnsi="Times New Roman CYR" w:cs="Times New Roman CYR"/>
          <w:sz w:val="26"/>
          <w:szCs w:val="26"/>
          <w:lang w:eastAsia="ru-RU"/>
        </w:rPr>
        <w:t xml:space="preserve">тыс. рублей, </w:t>
      </w:r>
    </w:p>
    <w:p w:rsidR="00933753" w:rsidRDefault="00933753" w:rsidP="0093375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Данный </w:t>
      </w:r>
      <w:r w:rsidRPr="001F5A39">
        <w:rPr>
          <w:rFonts w:ascii="Times New Roman CYR" w:hAnsi="Times New Roman CYR" w:cs="Times New Roman CYR"/>
          <w:sz w:val="26"/>
          <w:szCs w:val="26"/>
          <w:lang w:eastAsia="ru-RU"/>
        </w:rPr>
        <w:t xml:space="preserve">показатель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формируется инвестициями золотодобывающих предприятий Северо-Енисейского района </w:t>
      </w:r>
      <w:r w:rsidRPr="001F5A39">
        <w:rPr>
          <w:rFonts w:ascii="Times New Roman CYR" w:hAnsi="Times New Roman CYR" w:cs="Times New Roman CYR"/>
          <w:sz w:val="26"/>
          <w:szCs w:val="26"/>
          <w:lang w:eastAsia="ru-RU"/>
        </w:rPr>
        <w:t xml:space="preserve">за счет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приобретения</w:t>
      </w:r>
      <w:r w:rsidRPr="001F5A39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нового современного оборудования и высококлассной техники, а также вложенных ими инвестиций в здания и сооружения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. </w:t>
      </w:r>
    </w:p>
    <w:p w:rsidR="00933753" w:rsidRDefault="00933753" w:rsidP="0093375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sz w:val="26"/>
          <w:szCs w:val="26"/>
          <w:lang w:eastAsia="ru-RU"/>
        </w:rPr>
        <w:t>П</w:t>
      </w:r>
      <w:r w:rsidRPr="00B47919">
        <w:rPr>
          <w:rFonts w:ascii="Times New Roman CYR" w:hAnsi="Times New Roman CYR" w:cs="Times New Roman CYR"/>
          <w:sz w:val="26"/>
          <w:szCs w:val="26"/>
          <w:lang w:eastAsia="ru-RU"/>
        </w:rPr>
        <w:t xml:space="preserve">о данным </w:t>
      </w:r>
      <w:proofErr w:type="spellStart"/>
      <w:r w:rsidRPr="00B47919">
        <w:rPr>
          <w:rFonts w:ascii="Times New Roman CYR" w:hAnsi="Times New Roman CYR" w:cs="Times New Roman CYR"/>
          <w:sz w:val="26"/>
          <w:szCs w:val="26"/>
          <w:lang w:eastAsia="ru-RU"/>
        </w:rPr>
        <w:t>Красноярскстата</w:t>
      </w:r>
      <w:proofErr w:type="spellEnd"/>
      <w:r w:rsidRPr="00B47919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в 2022 </w:t>
      </w:r>
      <w:r w:rsidRPr="006F384F">
        <w:rPr>
          <w:rFonts w:ascii="Times New Roman CYR" w:hAnsi="Times New Roman CYR" w:cs="Times New Roman CYR"/>
          <w:sz w:val="26"/>
          <w:szCs w:val="26"/>
          <w:lang w:eastAsia="ru-RU"/>
        </w:rPr>
        <w:t xml:space="preserve">году </w:t>
      </w:r>
      <w:r w:rsidRPr="00D1034A">
        <w:rPr>
          <w:rFonts w:ascii="Times New Roman CYR" w:hAnsi="Times New Roman CYR" w:cs="Times New Roman CYR"/>
          <w:b/>
          <w:sz w:val="26"/>
          <w:szCs w:val="26"/>
          <w:lang w:eastAsia="ru-RU"/>
        </w:rPr>
        <w:t>объем инвестиций в основной капитал за счет бюджетных средств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 CYR" w:hAnsi="Times New Roman CYR" w:cs="Times New Roman CYR"/>
          <w:sz w:val="26"/>
          <w:szCs w:val="26"/>
          <w:lang w:eastAsia="ru-RU"/>
        </w:rPr>
        <w:t>в</w:t>
      </w:r>
      <w:proofErr w:type="gram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B47919">
        <w:rPr>
          <w:rFonts w:ascii="Times New Roman CYR" w:hAnsi="Times New Roman CYR" w:cs="Times New Roman CYR"/>
          <w:sz w:val="26"/>
          <w:szCs w:val="26"/>
          <w:lang w:eastAsia="ru-RU"/>
        </w:rPr>
        <w:t xml:space="preserve">составил </w:t>
      </w:r>
      <w:r>
        <w:rPr>
          <w:rFonts w:ascii="Times New Roman CYR" w:hAnsi="Times New Roman CYR" w:cs="Times New Roman CYR"/>
          <w:b/>
          <w:sz w:val="26"/>
          <w:szCs w:val="26"/>
          <w:lang w:eastAsia="ru-RU"/>
        </w:rPr>
        <w:t>642 415,0</w:t>
      </w:r>
      <w:r w:rsidRPr="00B47919">
        <w:rPr>
          <w:rFonts w:ascii="Times New Roman CYR" w:hAnsi="Times New Roman CYR" w:cs="Times New Roman CYR"/>
          <w:sz w:val="26"/>
          <w:szCs w:val="26"/>
          <w:lang w:eastAsia="ru-RU"/>
        </w:rPr>
        <w:t xml:space="preserve"> тыс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. рублей. Основное направление </w:t>
      </w:r>
      <w:r w:rsidRPr="00B47919">
        <w:rPr>
          <w:rFonts w:ascii="Times New Roman CYR" w:hAnsi="Times New Roman CYR" w:cs="Times New Roman CYR"/>
          <w:sz w:val="26"/>
          <w:szCs w:val="26"/>
          <w:lang w:eastAsia="ru-RU"/>
        </w:rPr>
        <w:t>расходования средств бюджета Северо-Енисейского района было направлено на проведение капитальных ремонтов объектов недвижимого имущества, находящихся в муниципальной собственности  Северо-Енисейского района.</w:t>
      </w:r>
    </w:p>
    <w:p w:rsidR="00933753" w:rsidRPr="00A223CE" w:rsidRDefault="00933753" w:rsidP="0093375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6"/>
          <w:szCs w:val="26"/>
          <w:lang w:eastAsia="ru-RU"/>
        </w:rPr>
      </w:pPr>
      <w:r w:rsidRPr="00A223CE">
        <w:rPr>
          <w:rFonts w:ascii="Times New Roman CYR" w:hAnsi="Times New Roman CYR" w:cs="Times New Roman CYR"/>
          <w:b/>
          <w:sz w:val="26"/>
          <w:szCs w:val="26"/>
          <w:lang w:eastAsia="ru-RU"/>
        </w:rPr>
        <w:t>Структура инвестиций в основной капитал за счет всех источников финансирования представлен</w:t>
      </w:r>
      <w:r>
        <w:rPr>
          <w:rFonts w:ascii="Times New Roman CYR" w:hAnsi="Times New Roman CYR" w:cs="Times New Roman CYR"/>
          <w:b/>
          <w:sz w:val="26"/>
          <w:szCs w:val="26"/>
          <w:lang w:eastAsia="ru-RU"/>
        </w:rPr>
        <w:t>а</w:t>
      </w:r>
      <w:r w:rsidRPr="00A223CE">
        <w:rPr>
          <w:rFonts w:ascii="Times New Roman CYR" w:hAnsi="Times New Roman CYR" w:cs="Times New Roman CYR"/>
          <w:b/>
          <w:sz w:val="26"/>
          <w:szCs w:val="26"/>
          <w:lang w:eastAsia="ru-RU"/>
        </w:rPr>
        <w:t xml:space="preserve"> в таблице 2.</w:t>
      </w:r>
    </w:p>
    <w:p w:rsidR="00933753" w:rsidRPr="00A223CE" w:rsidRDefault="00933753" w:rsidP="00933753">
      <w:pPr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A223CE">
        <w:rPr>
          <w:rFonts w:ascii="Times New Roman CYR" w:hAnsi="Times New Roman CYR" w:cs="Times New Roman CYR"/>
          <w:sz w:val="26"/>
          <w:szCs w:val="26"/>
          <w:lang w:eastAsia="ru-RU"/>
        </w:rPr>
        <w:t>Таблица 2</w:t>
      </w:r>
    </w:p>
    <w:p w:rsidR="00933753" w:rsidRPr="00A223CE" w:rsidRDefault="00933753" w:rsidP="0093375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12"/>
          <w:szCs w:val="12"/>
          <w:lang w:eastAsia="ru-RU"/>
        </w:rPr>
      </w:pPr>
      <w:r w:rsidRPr="00A223CE">
        <w:rPr>
          <w:rFonts w:ascii="Times New Roman CYR" w:hAnsi="Times New Roman CYR" w:cs="Times New Roman CYR"/>
          <w:b/>
          <w:sz w:val="26"/>
          <w:szCs w:val="26"/>
          <w:lang w:eastAsia="ru-RU"/>
        </w:rPr>
        <w:t>Структура инвестиции в основной капитал за счет всех источников финансирования</w:t>
      </w:r>
    </w:p>
    <w:tbl>
      <w:tblPr>
        <w:tblW w:w="9573" w:type="dxa"/>
        <w:jc w:val="center"/>
        <w:tblInd w:w="298" w:type="dxa"/>
        <w:tblLayout w:type="fixed"/>
        <w:tblLook w:val="0000" w:firstRow="0" w:lastRow="0" w:firstColumn="0" w:lastColumn="0" w:noHBand="0" w:noVBand="0"/>
      </w:tblPr>
      <w:tblGrid>
        <w:gridCol w:w="5434"/>
        <w:gridCol w:w="2721"/>
        <w:gridCol w:w="1418"/>
      </w:tblGrid>
      <w:tr w:rsidR="00933753" w:rsidRPr="00A223CE" w:rsidTr="00933753">
        <w:trPr>
          <w:trHeight w:val="549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93375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  <w:lang w:eastAsia="ru-RU"/>
              </w:rPr>
            </w:pPr>
            <w:r w:rsidRPr="00A223CE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  <w:lang w:eastAsia="ru-RU"/>
              </w:rPr>
              <w:t xml:space="preserve">Вид экономической деятельности 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93375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  <w:lang w:eastAsia="ru-RU"/>
              </w:rPr>
            </w:pPr>
            <w:r w:rsidRPr="00A223CE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  <w:lang w:eastAsia="ru-RU"/>
              </w:rPr>
              <w:t>Использовано инвестиций,</w:t>
            </w:r>
          </w:p>
          <w:p w:rsidR="00933753" w:rsidRPr="00A223CE" w:rsidRDefault="00933753" w:rsidP="0093375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  <w:lang w:eastAsia="ru-RU"/>
              </w:rPr>
            </w:pPr>
            <w:r w:rsidRPr="00A223CE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93375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  <w:lang w:eastAsia="ru-RU"/>
              </w:rPr>
            </w:pPr>
            <w:r w:rsidRPr="00A223CE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  <w:lang w:eastAsia="ru-RU"/>
              </w:rPr>
              <w:t>Удельный вес, %</w:t>
            </w:r>
          </w:p>
        </w:tc>
      </w:tr>
      <w:tr w:rsidR="00933753" w:rsidRPr="00A223CE" w:rsidTr="00933753">
        <w:trPr>
          <w:trHeight w:val="364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9337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eastAsia="ru-RU"/>
              </w:rPr>
            </w:pPr>
            <w:r w:rsidRPr="00A223CE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93375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A223CE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20 868 539,00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93375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A223CE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100,00</w:t>
            </w:r>
          </w:p>
        </w:tc>
      </w:tr>
      <w:tr w:rsidR="00933753" w:rsidRPr="00A223CE" w:rsidTr="00933753">
        <w:trPr>
          <w:trHeight w:val="348"/>
          <w:jc w:val="center"/>
        </w:trPr>
        <w:tc>
          <w:tcPr>
            <w:tcW w:w="8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9337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223CE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93375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933753" w:rsidRPr="00A223CE" w:rsidTr="00933753">
        <w:trPr>
          <w:trHeight w:val="387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9337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223CE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Добыча полезных ископаемых (В)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93375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13 116 862,33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93375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62,87</w:t>
            </w:r>
          </w:p>
        </w:tc>
      </w:tr>
      <w:tr w:rsidR="00933753" w:rsidRPr="00A223CE" w:rsidTr="00933753">
        <w:trPr>
          <w:trHeight w:val="420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9337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223CE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Обрабатывающее производство (С)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93375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4 640 025,23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93375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22,23</w:t>
            </w:r>
          </w:p>
        </w:tc>
      </w:tr>
      <w:tr w:rsidR="00933753" w:rsidRPr="00A223CE" w:rsidTr="00933753">
        <w:trPr>
          <w:trHeight w:val="364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9337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223CE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Строительство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93375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293 741,30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93375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223C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40</w:t>
            </w:r>
          </w:p>
        </w:tc>
      </w:tr>
      <w:tr w:rsidR="00933753" w:rsidRPr="00A223CE" w:rsidTr="00933753">
        <w:trPr>
          <w:trHeight w:val="387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9337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223CE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Транспортировка и хранение (Н)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93375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1 014 886,54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93375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4,86</w:t>
            </w:r>
          </w:p>
        </w:tc>
      </w:tr>
      <w:tr w:rsidR="00933753" w:rsidRPr="00A223CE" w:rsidTr="00933753">
        <w:trPr>
          <w:trHeight w:val="464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9337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223CE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Деятельность профессиональная научная и техническая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93375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1 803 023,6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93375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8,64</w:t>
            </w:r>
          </w:p>
        </w:tc>
      </w:tr>
      <w:tr w:rsidR="00933753" w:rsidRPr="00A65E08" w:rsidTr="00933753">
        <w:trPr>
          <w:trHeight w:val="303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9337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223CE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Прочие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93375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3" w:rsidRPr="00A223CE" w:rsidRDefault="00933753" w:rsidP="0093375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</w:tbl>
    <w:p w:rsidR="00933753" w:rsidRDefault="00933753" w:rsidP="0093375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</w:p>
    <w:p w:rsidR="00933753" w:rsidRPr="00243038" w:rsidRDefault="00933753" w:rsidP="0093375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243038">
        <w:rPr>
          <w:rFonts w:ascii="Times New Roman CYR" w:hAnsi="Times New Roman CYR" w:cs="Times New Roman CYR"/>
          <w:sz w:val="26"/>
          <w:szCs w:val="26"/>
          <w:lang w:eastAsia="ru-RU"/>
        </w:rPr>
        <w:t xml:space="preserve">Наибольшая доля инвестиций (62,87% от общего объема инвестиций за счет всех источников финансирования) приходится на вид экономической деятельности «Добыча полезных ископаемых» и составляет в 2022 году </w:t>
      </w:r>
      <w:r w:rsidRPr="00243038">
        <w:rPr>
          <w:rFonts w:ascii="Times New Roman CYR" w:hAnsi="Times New Roman CYR" w:cs="Times New Roman CYR"/>
          <w:b/>
          <w:sz w:val="26"/>
          <w:szCs w:val="26"/>
          <w:lang w:eastAsia="ru-RU"/>
        </w:rPr>
        <w:t xml:space="preserve">13 116 862,33 </w:t>
      </w:r>
      <w:r w:rsidRPr="00243038">
        <w:rPr>
          <w:rFonts w:ascii="Times New Roman CYR" w:hAnsi="Times New Roman CYR" w:cs="Times New Roman CYR"/>
          <w:sz w:val="26"/>
          <w:szCs w:val="26"/>
          <w:lang w:eastAsia="ru-RU"/>
        </w:rPr>
        <w:t xml:space="preserve">тыс. руб. </w:t>
      </w:r>
    </w:p>
    <w:p w:rsidR="00933753" w:rsidRPr="007C1C8A" w:rsidRDefault="00933753" w:rsidP="0093375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7C1C8A">
        <w:rPr>
          <w:rFonts w:ascii="Times New Roman CYR" w:hAnsi="Times New Roman CYR" w:cs="Times New Roman CYR"/>
          <w:sz w:val="26"/>
          <w:szCs w:val="26"/>
          <w:lang w:eastAsia="ru-RU"/>
        </w:rPr>
        <w:t>Главным образом, это инвестиции основных золотодобывающих предприятий района: АО «Полюс Красноярск», ООО «Соврудник», ООО АС «Пр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ииск Дражный», ООО ГРК «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Амикан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>»,</w:t>
      </w:r>
      <w:r w:rsidRPr="007C1C8A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прежде всего,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это </w:t>
      </w:r>
      <w:r w:rsidRPr="007C1C8A">
        <w:rPr>
          <w:rFonts w:ascii="Times New Roman CYR" w:hAnsi="Times New Roman CYR" w:cs="Times New Roman CYR"/>
          <w:sz w:val="26"/>
          <w:szCs w:val="26"/>
          <w:lang w:eastAsia="ru-RU"/>
        </w:rPr>
        <w:t>капиталоемки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е</w:t>
      </w:r>
      <w:r w:rsidRPr="007C1C8A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вложени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я</w:t>
      </w:r>
      <w:r w:rsidRPr="007C1C8A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золотодобывающи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х</w:t>
      </w:r>
      <w:r w:rsidRPr="007C1C8A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предприяти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й</w:t>
      </w:r>
      <w:r w:rsidRPr="007C1C8A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по реализации действующих инвестиционных проектов. </w:t>
      </w:r>
    </w:p>
    <w:p w:rsidR="00933753" w:rsidRPr="007C1C8A" w:rsidRDefault="00933753" w:rsidP="00933753">
      <w:pPr>
        <w:pStyle w:val="a4"/>
        <w:pBdr>
          <w:bottom w:val="none" w:sz="4" w:space="4" w:color="000000"/>
          <w:right w:val="none" w:sz="4" w:space="5" w:color="000000"/>
        </w:pBdr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7C1C8A">
        <w:rPr>
          <w:rFonts w:ascii="Times New Roman" w:hAnsi="Times New Roman"/>
          <w:b/>
          <w:sz w:val="26"/>
          <w:szCs w:val="26"/>
          <w:u w:val="single"/>
        </w:rPr>
        <w:t xml:space="preserve">В Северо-Енисейском районе активно и успешно реализуются масштабные инвестиционные проекты в сфере золотодобычи. </w:t>
      </w:r>
    </w:p>
    <w:p w:rsidR="00933753" w:rsidRPr="007C1C8A" w:rsidRDefault="00933753" w:rsidP="00933753">
      <w:pPr>
        <w:pStyle w:val="a4"/>
        <w:pBdr>
          <w:bottom w:val="none" w:sz="4" w:space="4" w:color="000000"/>
          <w:right w:val="none" w:sz="4" w:space="5" w:color="000000"/>
        </w:pBd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7C1C8A">
        <w:rPr>
          <w:rFonts w:ascii="Times New Roman" w:hAnsi="Times New Roman"/>
          <w:b/>
          <w:bCs/>
          <w:sz w:val="26"/>
          <w:szCs w:val="26"/>
        </w:rPr>
        <w:t>АО «Полюс Красноярск»</w:t>
      </w:r>
      <w:r w:rsidRPr="007C1C8A">
        <w:rPr>
          <w:rFonts w:ascii="Times New Roman" w:hAnsi="Times New Roman"/>
          <w:bCs/>
          <w:sz w:val="26"/>
          <w:szCs w:val="26"/>
        </w:rPr>
        <w:t xml:space="preserve"> реализует на территории района </w:t>
      </w:r>
      <w:r w:rsidRPr="007C1C8A">
        <w:rPr>
          <w:rFonts w:ascii="Times New Roman" w:hAnsi="Times New Roman"/>
          <w:b/>
          <w:bCs/>
          <w:sz w:val="26"/>
          <w:szCs w:val="26"/>
          <w:u w:val="single"/>
        </w:rPr>
        <w:t>3 инвестиционных проекта:</w:t>
      </w:r>
    </w:p>
    <w:p w:rsidR="00933753" w:rsidRPr="007C1C8A" w:rsidRDefault="00933753" w:rsidP="00933753">
      <w:pPr>
        <w:pStyle w:val="a4"/>
        <w:pBdr>
          <w:bottom w:val="none" w:sz="4" w:space="4" w:color="000000"/>
          <w:right w:val="none" w:sz="4" w:space="5" w:color="000000"/>
        </w:pBdr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7C1C8A">
        <w:rPr>
          <w:rFonts w:ascii="Times New Roman" w:hAnsi="Times New Roman"/>
          <w:bCs/>
          <w:sz w:val="26"/>
          <w:szCs w:val="26"/>
        </w:rPr>
        <w:lastRenderedPageBreak/>
        <w:t xml:space="preserve">инвестиционный проект </w:t>
      </w:r>
      <w:r w:rsidRPr="007C1C8A">
        <w:rPr>
          <w:rFonts w:ascii="Times New Roman" w:hAnsi="Times New Roman"/>
          <w:b/>
          <w:bCs/>
          <w:sz w:val="26"/>
          <w:szCs w:val="26"/>
          <w:u w:val="single"/>
        </w:rPr>
        <w:t xml:space="preserve">«Увеличение золотодобывающих и </w:t>
      </w:r>
      <w:proofErr w:type="spellStart"/>
      <w:r w:rsidRPr="007C1C8A">
        <w:rPr>
          <w:rFonts w:ascii="Times New Roman" w:hAnsi="Times New Roman"/>
          <w:b/>
          <w:bCs/>
          <w:sz w:val="26"/>
          <w:szCs w:val="26"/>
          <w:u w:val="single"/>
        </w:rPr>
        <w:t>золотоизвлекающих</w:t>
      </w:r>
      <w:proofErr w:type="spellEnd"/>
      <w:r w:rsidRPr="007C1C8A">
        <w:rPr>
          <w:rFonts w:ascii="Times New Roman" w:hAnsi="Times New Roman"/>
          <w:b/>
          <w:bCs/>
          <w:sz w:val="26"/>
          <w:szCs w:val="26"/>
          <w:u w:val="single"/>
        </w:rPr>
        <w:t xml:space="preserve"> мощностей месторождение «Благодатное»</w:t>
      </w:r>
      <w:r w:rsidRPr="007C1C8A">
        <w:rPr>
          <w:rFonts w:ascii="Times New Roman" w:hAnsi="Times New Roman"/>
          <w:bCs/>
          <w:sz w:val="26"/>
          <w:szCs w:val="26"/>
        </w:rPr>
        <w:t xml:space="preserve"> (ЗИФ-5), в рамках которого </w:t>
      </w:r>
      <w:r w:rsidRPr="007C1C8A">
        <w:rPr>
          <w:rFonts w:ascii="Times New Roman" w:hAnsi="Times New Roman"/>
          <w:b/>
          <w:bCs/>
          <w:sz w:val="26"/>
          <w:szCs w:val="26"/>
        </w:rPr>
        <w:t xml:space="preserve">строится новая </w:t>
      </w:r>
      <w:proofErr w:type="spellStart"/>
      <w:r w:rsidRPr="007C1C8A">
        <w:rPr>
          <w:rFonts w:ascii="Times New Roman" w:hAnsi="Times New Roman"/>
          <w:b/>
          <w:bCs/>
          <w:sz w:val="26"/>
          <w:szCs w:val="26"/>
        </w:rPr>
        <w:t>золотоизвлекательная</w:t>
      </w:r>
      <w:proofErr w:type="spellEnd"/>
      <w:r w:rsidRPr="007C1C8A">
        <w:rPr>
          <w:rFonts w:ascii="Times New Roman" w:hAnsi="Times New Roman"/>
          <w:b/>
          <w:bCs/>
          <w:sz w:val="26"/>
          <w:szCs w:val="26"/>
        </w:rPr>
        <w:t xml:space="preserve"> фабрика по переработке руды месторождения «Благодатное»</w:t>
      </w:r>
      <w:r w:rsidRPr="007C1C8A">
        <w:rPr>
          <w:rFonts w:ascii="Times New Roman" w:hAnsi="Times New Roman"/>
          <w:bCs/>
          <w:sz w:val="26"/>
          <w:szCs w:val="26"/>
        </w:rPr>
        <w:t xml:space="preserve"> производительностью </w:t>
      </w:r>
      <w:r w:rsidRPr="007C1C8A">
        <w:rPr>
          <w:rFonts w:ascii="Times New Roman" w:hAnsi="Times New Roman"/>
          <w:b/>
          <w:bCs/>
          <w:sz w:val="26"/>
          <w:szCs w:val="26"/>
          <w:u w:val="single"/>
        </w:rPr>
        <w:t>8,3 млн. тонн руды в год.</w:t>
      </w:r>
    </w:p>
    <w:p w:rsidR="00933753" w:rsidRPr="007C1C8A" w:rsidRDefault="00933753" w:rsidP="00933753">
      <w:pPr>
        <w:pStyle w:val="a4"/>
        <w:pBdr>
          <w:bottom w:val="none" w:sz="4" w:space="4" w:color="000000"/>
          <w:right w:val="none" w:sz="4" w:space="5" w:color="000000"/>
        </w:pBdr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7C1C8A">
        <w:rPr>
          <w:rFonts w:ascii="Times New Roman" w:hAnsi="Times New Roman"/>
          <w:bCs/>
          <w:sz w:val="26"/>
          <w:szCs w:val="26"/>
        </w:rPr>
        <w:t xml:space="preserve">инвестиционный проект </w:t>
      </w:r>
      <w:r w:rsidRPr="007C1C8A">
        <w:rPr>
          <w:rFonts w:ascii="Times New Roman" w:hAnsi="Times New Roman"/>
          <w:b/>
          <w:bCs/>
          <w:sz w:val="26"/>
          <w:szCs w:val="26"/>
          <w:u w:val="single"/>
        </w:rPr>
        <w:t>«Реконструкция ЗИФ – 1 под переработку руды месторождения «</w:t>
      </w:r>
      <w:proofErr w:type="spellStart"/>
      <w:r w:rsidRPr="007C1C8A">
        <w:rPr>
          <w:rFonts w:ascii="Times New Roman" w:hAnsi="Times New Roman"/>
          <w:b/>
          <w:bCs/>
          <w:sz w:val="26"/>
          <w:szCs w:val="26"/>
          <w:u w:val="single"/>
        </w:rPr>
        <w:t>Олимпиадинское</w:t>
      </w:r>
      <w:proofErr w:type="spellEnd"/>
      <w:r w:rsidRPr="007C1C8A">
        <w:rPr>
          <w:rFonts w:ascii="Times New Roman" w:hAnsi="Times New Roman"/>
          <w:b/>
          <w:bCs/>
          <w:sz w:val="26"/>
          <w:szCs w:val="26"/>
          <w:u w:val="single"/>
        </w:rPr>
        <w:t>».</w:t>
      </w:r>
      <w:r w:rsidRPr="007C1C8A">
        <w:rPr>
          <w:rFonts w:ascii="Times New Roman" w:hAnsi="Times New Roman"/>
          <w:bCs/>
          <w:sz w:val="26"/>
          <w:szCs w:val="26"/>
        </w:rPr>
        <w:t xml:space="preserve"> На ЗИФ - 1 с объемом переработки руды 2,4 млн. тонн руды, работы ведутся по </w:t>
      </w:r>
      <w:r w:rsidRPr="007C1C8A">
        <w:rPr>
          <w:rFonts w:ascii="Times New Roman" w:hAnsi="Times New Roman"/>
          <w:b/>
          <w:bCs/>
          <w:sz w:val="26"/>
          <w:szCs w:val="26"/>
        </w:rPr>
        <w:t>организации технологической линии с возможностью переработки руды месторождения «</w:t>
      </w:r>
      <w:proofErr w:type="spellStart"/>
      <w:r w:rsidRPr="007C1C8A">
        <w:rPr>
          <w:rFonts w:ascii="Times New Roman" w:hAnsi="Times New Roman"/>
          <w:b/>
          <w:bCs/>
          <w:sz w:val="26"/>
          <w:szCs w:val="26"/>
        </w:rPr>
        <w:t>Олимпиадинское</w:t>
      </w:r>
      <w:proofErr w:type="spellEnd"/>
      <w:r w:rsidRPr="007C1C8A">
        <w:rPr>
          <w:rFonts w:ascii="Times New Roman" w:hAnsi="Times New Roman"/>
          <w:b/>
          <w:bCs/>
          <w:sz w:val="26"/>
          <w:szCs w:val="26"/>
        </w:rPr>
        <w:t>»</w:t>
      </w:r>
      <w:r w:rsidRPr="007C1C8A">
        <w:rPr>
          <w:rFonts w:ascii="Times New Roman" w:hAnsi="Times New Roman"/>
          <w:bCs/>
          <w:sz w:val="26"/>
          <w:szCs w:val="26"/>
        </w:rPr>
        <w:t xml:space="preserve"> с ростом производительности </w:t>
      </w:r>
      <w:r w:rsidRPr="007C1C8A">
        <w:rPr>
          <w:rFonts w:ascii="Times New Roman" w:hAnsi="Times New Roman"/>
          <w:b/>
          <w:bCs/>
          <w:sz w:val="26"/>
          <w:szCs w:val="26"/>
          <w:u w:val="single"/>
        </w:rPr>
        <w:t>до 3,0 млн. тонн руды в год</w:t>
      </w:r>
      <w:r w:rsidRPr="007C1C8A">
        <w:rPr>
          <w:rFonts w:ascii="Times New Roman" w:hAnsi="Times New Roman"/>
          <w:bCs/>
          <w:sz w:val="26"/>
          <w:szCs w:val="26"/>
        </w:rPr>
        <w:t xml:space="preserve">. </w:t>
      </w:r>
    </w:p>
    <w:p w:rsidR="00933753" w:rsidRPr="007C1C8A" w:rsidRDefault="00933753" w:rsidP="00933753">
      <w:pPr>
        <w:pStyle w:val="a4"/>
        <w:pBdr>
          <w:bottom w:val="none" w:sz="4" w:space="4" w:color="000000"/>
          <w:right w:val="none" w:sz="4" w:space="5" w:color="000000"/>
        </w:pBdr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7C1C8A">
        <w:rPr>
          <w:rFonts w:ascii="Times New Roman" w:hAnsi="Times New Roman"/>
          <w:bCs/>
          <w:sz w:val="26"/>
          <w:szCs w:val="26"/>
        </w:rPr>
        <w:t xml:space="preserve">инвестиционный проект </w:t>
      </w:r>
      <w:r w:rsidRPr="007C1C8A">
        <w:rPr>
          <w:rFonts w:ascii="Times New Roman" w:hAnsi="Times New Roman"/>
          <w:b/>
          <w:bCs/>
          <w:sz w:val="26"/>
          <w:szCs w:val="26"/>
          <w:u w:val="single"/>
        </w:rPr>
        <w:t>«Увеличение производительности ЗИФ–4 с 8 до 8,7 млн. тонн»</w:t>
      </w:r>
      <w:r w:rsidRPr="007C1C8A">
        <w:rPr>
          <w:rFonts w:ascii="Times New Roman" w:hAnsi="Times New Roman"/>
          <w:bCs/>
          <w:sz w:val="26"/>
          <w:szCs w:val="26"/>
        </w:rPr>
        <w:t xml:space="preserve"> с проведением </w:t>
      </w:r>
      <w:r w:rsidRPr="007C1C8A">
        <w:rPr>
          <w:rFonts w:ascii="Times New Roman" w:hAnsi="Times New Roman"/>
          <w:b/>
          <w:bCs/>
          <w:sz w:val="26"/>
          <w:szCs w:val="26"/>
        </w:rPr>
        <w:t xml:space="preserve">расширения производства для переработки руды с ростом производительности </w:t>
      </w:r>
      <w:r w:rsidRPr="007C1C8A">
        <w:rPr>
          <w:rFonts w:ascii="Times New Roman" w:hAnsi="Times New Roman"/>
          <w:b/>
          <w:bCs/>
          <w:sz w:val="26"/>
          <w:szCs w:val="26"/>
          <w:u w:val="single"/>
        </w:rPr>
        <w:t>до 8,7 млн. тонн руды в год</w:t>
      </w:r>
      <w:r w:rsidRPr="007C1C8A">
        <w:rPr>
          <w:rFonts w:ascii="Times New Roman" w:hAnsi="Times New Roman"/>
          <w:bCs/>
          <w:sz w:val="26"/>
          <w:szCs w:val="26"/>
          <w:u w:val="single"/>
        </w:rPr>
        <w:t>.</w:t>
      </w:r>
    </w:p>
    <w:p w:rsidR="00933753" w:rsidRPr="007C1C8A" w:rsidRDefault="00933753" w:rsidP="00933753">
      <w:pPr>
        <w:pStyle w:val="a4"/>
        <w:pBdr>
          <w:bottom w:val="none" w:sz="4" w:space="4" w:color="000000"/>
          <w:right w:val="none" w:sz="4" w:space="5" w:color="000000"/>
        </w:pBdr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7C1C8A">
        <w:rPr>
          <w:rFonts w:ascii="Times New Roman" w:hAnsi="Times New Roman"/>
          <w:b/>
          <w:sz w:val="26"/>
          <w:szCs w:val="26"/>
        </w:rPr>
        <w:t xml:space="preserve">ООО «Соврудник» </w:t>
      </w:r>
      <w:r w:rsidRPr="007C1C8A">
        <w:rPr>
          <w:rFonts w:ascii="Times New Roman" w:hAnsi="Times New Roman"/>
          <w:bCs/>
          <w:sz w:val="26"/>
          <w:szCs w:val="26"/>
        </w:rPr>
        <w:t xml:space="preserve">реализует инвестиционный проект </w:t>
      </w:r>
      <w:r w:rsidRPr="007C1C8A">
        <w:rPr>
          <w:rFonts w:ascii="Times New Roman" w:hAnsi="Times New Roman"/>
          <w:b/>
          <w:bCs/>
          <w:sz w:val="26"/>
          <w:szCs w:val="26"/>
          <w:u w:val="single"/>
        </w:rPr>
        <w:t xml:space="preserve">«Освоение золоторудных месторождений </w:t>
      </w:r>
      <w:proofErr w:type="spellStart"/>
      <w:r w:rsidRPr="007C1C8A">
        <w:rPr>
          <w:rFonts w:ascii="Times New Roman" w:hAnsi="Times New Roman"/>
          <w:b/>
          <w:bCs/>
          <w:sz w:val="26"/>
          <w:szCs w:val="26"/>
          <w:u w:val="single"/>
        </w:rPr>
        <w:t>Нойбинской</w:t>
      </w:r>
      <w:proofErr w:type="spellEnd"/>
      <w:r w:rsidRPr="007C1C8A">
        <w:rPr>
          <w:rFonts w:ascii="Times New Roman" w:hAnsi="Times New Roman"/>
          <w:b/>
          <w:bCs/>
          <w:sz w:val="26"/>
          <w:szCs w:val="26"/>
          <w:u w:val="single"/>
        </w:rPr>
        <w:t xml:space="preserve"> площади Северо-Енисейского района Красноярского края»</w:t>
      </w:r>
      <w:r w:rsidRPr="007C1C8A">
        <w:rPr>
          <w:rFonts w:ascii="Times New Roman" w:hAnsi="Times New Roman"/>
          <w:bCs/>
          <w:sz w:val="26"/>
          <w:szCs w:val="26"/>
        </w:rPr>
        <w:t>.</w:t>
      </w:r>
    </w:p>
    <w:p w:rsidR="00933753" w:rsidRPr="007C1C8A" w:rsidRDefault="00933753" w:rsidP="00933753">
      <w:pPr>
        <w:pStyle w:val="a4"/>
        <w:pBdr>
          <w:bottom w:val="none" w:sz="4" w:space="4" w:color="000000"/>
          <w:right w:val="none" w:sz="4" w:space="5" w:color="000000"/>
        </w:pBd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C1C8A">
        <w:rPr>
          <w:rFonts w:ascii="Times New Roman" w:hAnsi="Times New Roman"/>
          <w:sz w:val="26"/>
          <w:szCs w:val="26"/>
        </w:rPr>
        <w:t xml:space="preserve">Проект предусматривает </w:t>
      </w:r>
      <w:r w:rsidRPr="007C1C8A">
        <w:rPr>
          <w:rFonts w:ascii="Times New Roman" w:hAnsi="Times New Roman"/>
          <w:b/>
          <w:sz w:val="26"/>
          <w:szCs w:val="26"/>
        </w:rPr>
        <w:t xml:space="preserve">освоение месторождений </w:t>
      </w:r>
      <w:r w:rsidRPr="007C1C8A">
        <w:rPr>
          <w:rFonts w:ascii="Times New Roman" w:hAnsi="Times New Roman"/>
          <w:b/>
          <w:bCs/>
          <w:sz w:val="26"/>
          <w:szCs w:val="26"/>
        </w:rPr>
        <w:t xml:space="preserve">«Высокое» и «Золотое» и </w:t>
      </w:r>
      <w:r w:rsidRPr="007C1C8A">
        <w:rPr>
          <w:rFonts w:ascii="Times New Roman" w:hAnsi="Times New Roman"/>
          <w:b/>
          <w:bCs/>
          <w:sz w:val="26"/>
          <w:szCs w:val="26"/>
          <w:u w:val="single"/>
        </w:rPr>
        <w:t>строительство современного горно-обогатительного комбината на месторождении «Высокое»</w:t>
      </w:r>
      <w:r w:rsidRPr="007C1C8A">
        <w:rPr>
          <w:rFonts w:ascii="Times New Roman" w:hAnsi="Times New Roman"/>
          <w:bCs/>
          <w:sz w:val="26"/>
          <w:szCs w:val="26"/>
        </w:rPr>
        <w:t xml:space="preserve"> производительностью по переработке руды до 5 млн. тонн и производительностью 5 тонн золота ежегодно. </w:t>
      </w:r>
      <w:r w:rsidRPr="007C1C8A">
        <w:rPr>
          <w:rFonts w:ascii="Times New Roman" w:hAnsi="Times New Roman"/>
          <w:sz w:val="26"/>
          <w:szCs w:val="26"/>
        </w:rPr>
        <w:t xml:space="preserve">На территории месторождения «Высокое» проведено строительство высоковольтных подстанций и ЛЭП от подстанции «Тайга», построена автомобильная дорога с мостовым переходом, активно ведется строительство главного корпуса </w:t>
      </w:r>
      <w:proofErr w:type="spellStart"/>
      <w:r w:rsidRPr="007C1C8A">
        <w:rPr>
          <w:rFonts w:ascii="Times New Roman" w:hAnsi="Times New Roman"/>
          <w:sz w:val="26"/>
          <w:szCs w:val="26"/>
        </w:rPr>
        <w:t>золотоизвлекательной</w:t>
      </w:r>
      <w:proofErr w:type="spellEnd"/>
      <w:r w:rsidRPr="007C1C8A">
        <w:rPr>
          <w:rFonts w:ascii="Times New Roman" w:hAnsi="Times New Roman"/>
          <w:sz w:val="26"/>
          <w:szCs w:val="26"/>
        </w:rPr>
        <w:t xml:space="preserve"> фабрики, начато строительство </w:t>
      </w:r>
      <w:proofErr w:type="spellStart"/>
      <w:r w:rsidRPr="007C1C8A">
        <w:rPr>
          <w:rFonts w:ascii="Times New Roman" w:hAnsi="Times New Roman"/>
          <w:sz w:val="26"/>
          <w:szCs w:val="26"/>
        </w:rPr>
        <w:t>хвостохранилища</w:t>
      </w:r>
      <w:proofErr w:type="spellEnd"/>
      <w:r w:rsidRPr="007C1C8A">
        <w:rPr>
          <w:rFonts w:ascii="Times New Roman" w:hAnsi="Times New Roman"/>
          <w:sz w:val="26"/>
          <w:szCs w:val="26"/>
        </w:rPr>
        <w:t xml:space="preserve"> и вахтового поселка.</w:t>
      </w:r>
    </w:p>
    <w:p w:rsidR="00933753" w:rsidRDefault="00933753" w:rsidP="00933753">
      <w:pPr>
        <w:pStyle w:val="a4"/>
        <w:pBdr>
          <w:bottom w:val="none" w:sz="4" w:space="4" w:color="000000"/>
          <w:right w:val="none" w:sz="4" w:space="5" w:color="000000"/>
        </w:pBd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C1C8A">
        <w:rPr>
          <w:rFonts w:ascii="Times New Roman" w:hAnsi="Times New Roman"/>
          <w:b/>
          <w:bCs/>
          <w:sz w:val="26"/>
          <w:szCs w:val="26"/>
        </w:rPr>
        <w:t>ООО ГРК «</w:t>
      </w:r>
      <w:proofErr w:type="spellStart"/>
      <w:r w:rsidRPr="007C1C8A">
        <w:rPr>
          <w:rFonts w:ascii="Times New Roman" w:hAnsi="Times New Roman"/>
          <w:b/>
          <w:bCs/>
          <w:sz w:val="26"/>
          <w:szCs w:val="26"/>
        </w:rPr>
        <w:t>Амикан</w:t>
      </w:r>
      <w:proofErr w:type="spellEnd"/>
      <w:r w:rsidRPr="007C1C8A">
        <w:rPr>
          <w:rFonts w:ascii="Times New Roman" w:hAnsi="Times New Roman"/>
          <w:b/>
          <w:bCs/>
          <w:sz w:val="26"/>
          <w:szCs w:val="26"/>
        </w:rPr>
        <w:t xml:space="preserve">» </w:t>
      </w:r>
      <w:r w:rsidRPr="007C1C8A">
        <w:rPr>
          <w:rFonts w:ascii="Times New Roman" w:hAnsi="Times New Roman"/>
          <w:bCs/>
          <w:sz w:val="26"/>
          <w:szCs w:val="26"/>
        </w:rPr>
        <w:t xml:space="preserve">реализует на территории района </w:t>
      </w:r>
      <w:r w:rsidRPr="007C1C8A">
        <w:rPr>
          <w:rFonts w:ascii="Times New Roman" w:hAnsi="Times New Roman"/>
          <w:sz w:val="26"/>
          <w:szCs w:val="26"/>
        </w:rPr>
        <w:t xml:space="preserve">инвестиционный проект </w:t>
      </w:r>
      <w:r w:rsidRPr="007C1C8A">
        <w:rPr>
          <w:rFonts w:ascii="Times New Roman" w:hAnsi="Times New Roman"/>
          <w:b/>
          <w:sz w:val="26"/>
          <w:szCs w:val="26"/>
          <w:u w:val="single"/>
        </w:rPr>
        <w:t>«Строительство горнодобывающего предприятия на базе золоторудного месторождения «</w:t>
      </w:r>
      <w:proofErr w:type="spellStart"/>
      <w:r w:rsidRPr="007C1C8A">
        <w:rPr>
          <w:rFonts w:ascii="Times New Roman" w:hAnsi="Times New Roman"/>
          <w:b/>
          <w:sz w:val="26"/>
          <w:szCs w:val="26"/>
          <w:u w:val="single"/>
        </w:rPr>
        <w:t>Ведугинское</w:t>
      </w:r>
      <w:proofErr w:type="spellEnd"/>
      <w:r w:rsidRPr="007C1C8A">
        <w:rPr>
          <w:rFonts w:ascii="Times New Roman" w:hAnsi="Times New Roman"/>
          <w:b/>
          <w:sz w:val="26"/>
          <w:szCs w:val="26"/>
          <w:u w:val="single"/>
        </w:rPr>
        <w:t>»</w:t>
      </w:r>
      <w:r w:rsidRPr="007C1C8A">
        <w:rPr>
          <w:rFonts w:ascii="Times New Roman" w:hAnsi="Times New Roman"/>
          <w:sz w:val="26"/>
          <w:szCs w:val="26"/>
        </w:rPr>
        <w:t xml:space="preserve">, в рамках которого </w:t>
      </w:r>
      <w:r w:rsidRPr="007C1C8A">
        <w:rPr>
          <w:rFonts w:ascii="Times New Roman" w:hAnsi="Times New Roman"/>
          <w:b/>
          <w:sz w:val="26"/>
          <w:szCs w:val="26"/>
        </w:rPr>
        <w:t xml:space="preserve">ведется разработка и </w:t>
      </w:r>
      <w:r w:rsidRPr="007C1C8A">
        <w:rPr>
          <w:rFonts w:ascii="Times New Roman" w:hAnsi="Times New Roman"/>
          <w:b/>
          <w:sz w:val="26"/>
          <w:szCs w:val="26"/>
          <w:u w:val="single"/>
        </w:rPr>
        <w:t>освоение запасов золоторудного месторождения «</w:t>
      </w:r>
      <w:proofErr w:type="spellStart"/>
      <w:r w:rsidRPr="007C1C8A">
        <w:rPr>
          <w:rFonts w:ascii="Times New Roman" w:hAnsi="Times New Roman"/>
          <w:b/>
          <w:sz w:val="26"/>
          <w:szCs w:val="26"/>
          <w:u w:val="single"/>
        </w:rPr>
        <w:t>Ведугинское</w:t>
      </w:r>
      <w:proofErr w:type="spellEnd"/>
      <w:r w:rsidRPr="007C1C8A">
        <w:rPr>
          <w:rFonts w:ascii="Times New Roman" w:hAnsi="Times New Roman"/>
          <w:b/>
          <w:sz w:val="26"/>
          <w:szCs w:val="26"/>
          <w:u w:val="single"/>
        </w:rPr>
        <w:t xml:space="preserve">» подземным способом </w:t>
      </w:r>
      <w:r w:rsidRPr="007C1C8A">
        <w:rPr>
          <w:rFonts w:ascii="Times New Roman" w:hAnsi="Times New Roman"/>
          <w:sz w:val="26"/>
          <w:szCs w:val="26"/>
        </w:rPr>
        <w:t xml:space="preserve">и предусматривается строительство горно-обогатительного комбината, а также объектов инженерной инфраструктуры. </w:t>
      </w:r>
      <w:r w:rsidRPr="007C1C8A">
        <w:rPr>
          <w:rFonts w:ascii="Times New Roman" w:hAnsi="Times New Roman"/>
          <w:b/>
          <w:sz w:val="26"/>
          <w:szCs w:val="26"/>
          <w:u w:val="single"/>
        </w:rPr>
        <w:t>Годовая проектная мощность 3 600,00 тыс. тонн руды в год</w:t>
      </w:r>
      <w:r w:rsidRPr="007C1C8A">
        <w:rPr>
          <w:rFonts w:ascii="Times New Roman" w:hAnsi="Times New Roman"/>
          <w:sz w:val="26"/>
          <w:szCs w:val="26"/>
        </w:rPr>
        <w:t>.</w:t>
      </w:r>
    </w:p>
    <w:p w:rsidR="00933753" w:rsidRDefault="00933753" w:rsidP="00933753">
      <w:pPr>
        <w:pStyle w:val="a4"/>
        <w:pBdr>
          <w:bottom w:val="none" w:sz="4" w:space="4" w:color="000000"/>
          <w:right w:val="none" w:sz="4" w:space="5" w:color="000000"/>
        </w:pBd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C1C8A">
        <w:rPr>
          <w:rFonts w:ascii="Times New Roman" w:hAnsi="Times New Roman"/>
          <w:b/>
          <w:sz w:val="26"/>
          <w:szCs w:val="26"/>
          <w:u w:val="single"/>
        </w:rPr>
        <w:t>Реализация инвестиционных проектов</w:t>
      </w:r>
      <w:r>
        <w:rPr>
          <w:rFonts w:ascii="Times New Roman" w:hAnsi="Times New Roman"/>
          <w:sz w:val="26"/>
          <w:szCs w:val="26"/>
        </w:rPr>
        <w:t xml:space="preserve"> – это результат последовательного наращивания инвестиционной активности в районе, и соответственно, развитие высокотехнологичного производства, комплексное развитие золотодобывающих предприятий, которые работают уверенно и стабильно.</w:t>
      </w:r>
    </w:p>
    <w:p w:rsidR="00933753" w:rsidRPr="00D5196A" w:rsidRDefault="00933753" w:rsidP="0093375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6"/>
          <w:szCs w:val="26"/>
          <w:lang w:eastAsia="ru-RU"/>
        </w:rPr>
      </w:pPr>
      <w:r w:rsidRPr="00D5196A">
        <w:rPr>
          <w:rFonts w:ascii="Times New Roman CYR" w:hAnsi="Times New Roman CYR" w:cs="Times New Roman CYR"/>
          <w:b/>
          <w:sz w:val="26"/>
          <w:szCs w:val="26"/>
          <w:lang w:eastAsia="ru-RU"/>
        </w:rPr>
        <w:t>Динамика инвестиций в основной капитал за счет всех источников финансирования представлена в таблице 3.</w:t>
      </w:r>
    </w:p>
    <w:p w:rsidR="00933753" w:rsidRPr="00D5196A" w:rsidRDefault="00933753" w:rsidP="00933753">
      <w:pPr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D5196A">
        <w:rPr>
          <w:rFonts w:ascii="Times New Roman CYR" w:hAnsi="Times New Roman CYR" w:cs="Times New Roman CYR"/>
          <w:sz w:val="26"/>
          <w:szCs w:val="26"/>
          <w:lang w:eastAsia="ru-RU"/>
        </w:rPr>
        <w:t>Таблица 3</w:t>
      </w:r>
    </w:p>
    <w:p w:rsidR="00933753" w:rsidRDefault="00933753" w:rsidP="0093375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6"/>
          <w:szCs w:val="26"/>
          <w:lang w:eastAsia="ru-RU"/>
        </w:rPr>
      </w:pPr>
      <w:r w:rsidRPr="00D5196A">
        <w:rPr>
          <w:rFonts w:ascii="Times New Roman CYR" w:hAnsi="Times New Roman CYR" w:cs="Times New Roman CYR"/>
          <w:b/>
          <w:sz w:val="26"/>
          <w:szCs w:val="26"/>
          <w:lang w:eastAsia="ru-RU"/>
        </w:rPr>
        <w:t>Динамика инвестиций в основной капитал за счет всех источников финансирования</w:t>
      </w:r>
    </w:p>
    <w:p w:rsidR="00933753" w:rsidRPr="00D5196A" w:rsidRDefault="00933753" w:rsidP="0093375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6"/>
          <w:szCs w:val="26"/>
          <w:lang w:eastAsia="ru-RU"/>
        </w:rPr>
      </w:pPr>
    </w:p>
    <w:tbl>
      <w:tblPr>
        <w:tblStyle w:val="a3"/>
        <w:tblW w:w="4992" w:type="pct"/>
        <w:tblLook w:val="04A0" w:firstRow="1" w:lastRow="0" w:firstColumn="1" w:lastColumn="0" w:noHBand="0" w:noVBand="1"/>
      </w:tblPr>
      <w:tblGrid>
        <w:gridCol w:w="2895"/>
        <w:gridCol w:w="1271"/>
        <w:gridCol w:w="1271"/>
        <w:gridCol w:w="1372"/>
        <w:gridCol w:w="1372"/>
        <w:gridCol w:w="1374"/>
      </w:tblGrid>
      <w:tr w:rsidR="00933753" w:rsidRPr="00134C43" w:rsidTr="00933753">
        <w:trPr>
          <w:trHeight w:val="289"/>
        </w:trPr>
        <w:tc>
          <w:tcPr>
            <w:tcW w:w="1515" w:type="pct"/>
            <w:vMerge w:val="restart"/>
            <w:hideMark/>
          </w:tcPr>
          <w:p w:rsidR="00933753" w:rsidRPr="00134C43" w:rsidRDefault="00933753" w:rsidP="00933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4C43">
              <w:rPr>
                <w:sz w:val="20"/>
                <w:szCs w:val="20"/>
                <w:lang w:eastAsia="ru-RU"/>
              </w:rPr>
              <w:t>Наименование показателя и единицы измерения</w:t>
            </w:r>
          </w:p>
        </w:tc>
        <w:tc>
          <w:tcPr>
            <w:tcW w:w="3485" w:type="pct"/>
            <w:gridSpan w:val="5"/>
            <w:hideMark/>
          </w:tcPr>
          <w:p w:rsidR="00933753" w:rsidRPr="00134C43" w:rsidRDefault="00933753" w:rsidP="00933753">
            <w:pPr>
              <w:autoSpaceDE w:val="0"/>
              <w:autoSpaceDN w:val="0"/>
              <w:adjustRightInd w:val="0"/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134C43">
              <w:rPr>
                <w:sz w:val="20"/>
                <w:szCs w:val="20"/>
                <w:lang w:eastAsia="ru-RU"/>
              </w:rPr>
              <w:t>Значения показателя</w:t>
            </w:r>
          </w:p>
        </w:tc>
      </w:tr>
      <w:tr w:rsidR="00933753" w:rsidRPr="00134C43" w:rsidTr="00933753">
        <w:trPr>
          <w:trHeight w:val="469"/>
        </w:trPr>
        <w:tc>
          <w:tcPr>
            <w:tcW w:w="1515" w:type="pct"/>
            <w:vMerge/>
            <w:hideMark/>
          </w:tcPr>
          <w:p w:rsidR="00933753" w:rsidRPr="00134C43" w:rsidRDefault="00933753" w:rsidP="00933753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hideMark/>
          </w:tcPr>
          <w:p w:rsidR="00933753" w:rsidRPr="00134C43" w:rsidRDefault="00933753" w:rsidP="00933753">
            <w:pPr>
              <w:autoSpaceDE w:val="0"/>
              <w:autoSpaceDN w:val="0"/>
              <w:adjustRightInd w:val="0"/>
              <w:ind w:firstLine="55"/>
              <w:jc w:val="center"/>
              <w:rPr>
                <w:sz w:val="20"/>
                <w:szCs w:val="20"/>
                <w:lang w:eastAsia="ru-RU"/>
              </w:rPr>
            </w:pPr>
            <w:r w:rsidRPr="00134C43">
              <w:rPr>
                <w:sz w:val="20"/>
                <w:szCs w:val="20"/>
                <w:lang w:eastAsia="ru-RU"/>
              </w:rPr>
              <w:t>2021</w:t>
            </w:r>
          </w:p>
          <w:p w:rsidR="00933753" w:rsidRPr="00134C43" w:rsidRDefault="00933753" w:rsidP="00933753">
            <w:pPr>
              <w:autoSpaceDE w:val="0"/>
              <w:autoSpaceDN w:val="0"/>
              <w:adjustRightInd w:val="0"/>
              <w:ind w:firstLine="55"/>
              <w:jc w:val="center"/>
              <w:rPr>
                <w:sz w:val="20"/>
                <w:szCs w:val="20"/>
                <w:lang w:eastAsia="ru-RU"/>
              </w:rPr>
            </w:pPr>
            <w:r w:rsidRPr="00134C43">
              <w:rPr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665" w:type="pct"/>
            <w:hideMark/>
          </w:tcPr>
          <w:p w:rsidR="00933753" w:rsidRPr="00134C43" w:rsidRDefault="00933753" w:rsidP="00933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4C43">
              <w:rPr>
                <w:sz w:val="20"/>
                <w:szCs w:val="20"/>
                <w:lang w:eastAsia="ru-RU"/>
              </w:rPr>
              <w:t xml:space="preserve">2022 </w:t>
            </w:r>
          </w:p>
          <w:p w:rsidR="00933753" w:rsidRPr="00134C43" w:rsidRDefault="00933753" w:rsidP="00933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4C43">
              <w:rPr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18" w:type="pct"/>
            <w:hideMark/>
          </w:tcPr>
          <w:p w:rsidR="00933753" w:rsidRPr="00134C43" w:rsidRDefault="00933753" w:rsidP="00933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4C43">
              <w:rPr>
                <w:sz w:val="20"/>
                <w:szCs w:val="20"/>
                <w:lang w:eastAsia="ru-RU"/>
              </w:rPr>
              <w:t xml:space="preserve">2023 </w:t>
            </w:r>
          </w:p>
          <w:p w:rsidR="00933753" w:rsidRPr="00134C43" w:rsidRDefault="00933753" w:rsidP="00933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4C43">
              <w:rPr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718" w:type="pct"/>
            <w:hideMark/>
          </w:tcPr>
          <w:p w:rsidR="00933753" w:rsidRPr="00134C43" w:rsidRDefault="00933753" w:rsidP="00933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4C43">
              <w:rPr>
                <w:sz w:val="20"/>
                <w:szCs w:val="20"/>
                <w:lang w:eastAsia="ru-RU"/>
              </w:rPr>
              <w:t xml:space="preserve">2024 </w:t>
            </w:r>
          </w:p>
          <w:p w:rsidR="00933753" w:rsidRPr="00134C43" w:rsidRDefault="00933753" w:rsidP="00933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4C43">
              <w:rPr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719" w:type="pct"/>
            <w:hideMark/>
          </w:tcPr>
          <w:p w:rsidR="00933753" w:rsidRPr="00134C43" w:rsidRDefault="00933753" w:rsidP="00933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4C43">
              <w:rPr>
                <w:sz w:val="20"/>
                <w:szCs w:val="20"/>
                <w:lang w:eastAsia="ru-RU"/>
              </w:rPr>
              <w:t>2025</w:t>
            </w:r>
          </w:p>
          <w:p w:rsidR="00933753" w:rsidRPr="00134C43" w:rsidRDefault="00933753" w:rsidP="00933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4C43">
              <w:rPr>
                <w:sz w:val="20"/>
                <w:szCs w:val="20"/>
                <w:lang w:eastAsia="ru-RU"/>
              </w:rPr>
              <w:t xml:space="preserve"> прогноз</w:t>
            </w:r>
          </w:p>
        </w:tc>
      </w:tr>
      <w:tr w:rsidR="00933753" w:rsidRPr="00134C43" w:rsidTr="00933753">
        <w:trPr>
          <w:trHeight w:val="963"/>
        </w:trPr>
        <w:tc>
          <w:tcPr>
            <w:tcW w:w="1515" w:type="pct"/>
            <w:hideMark/>
          </w:tcPr>
          <w:p w:rsidR="00933753" w:rsidRPr="00134C43" w:rsidRDefault="00933753" w:rsidP="0093375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134C43">
              <w:rPr>
                <w:sz w:val="20"/>
                <w:szCs w:val="20"/>
                <w:lang w:eastAsia="ru-RU"/>
              </w:rPr>
              <w:t>1. Объем инвестиций в основной капитал за счет всех источников финансирования (без субъектов малого предпринимательства), тыс. руб.</w:t>
            </w:r>
          </w:p>
        </w:tc>
        <w:tc>
          <w:tcPr>
            <w:tcW w:w="665" w:type="pct"/>
            <w:vAlign w:val="center"/>
            <w:hideMark/>
          </w:tcPr>
          <w:p w:rsidR="00933753" w:rsidRPr="00211DEE" w:rsidRDefault="00933753" w:rsidP="00933753">
            <w:pPr>
              <w:tabs>
                <w:tab w:val="left" w:pos="101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11DEE">
              <w:rPr>
                <w:sz w:val="18"/>
                <w:szCs w:val="18"/>
                <w:lang w:eastAsia="ru-RU"/>
              </w:rPr>
              <w:t>25 803 614,0</w:t>
            </w:r>
          </w:p>
        </w:tc>
        <w:tc>
          <w:tcPr>
            <w:tcW w:w="665" w:type="pct"/>
            <w:vAlign w:val="center"/>
            <w:hideMark/>
          </w:tcPr>
          <w:p w:rsidR="00933753" w:rsidRPr="00211DEE" w:rsidRDefault="00933753" w:rsidP="00933753">
            <w:pPr>
              <w:tabs>
                <w:tab w:val="left" w:pos="101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11DEE">
              <w:rPr>
                <w:sz w:val="18"/>
                <w:szCs w:val="18"/>
                <w:lang w:eastAsia="ru-RU"/>
              </w:rPr>
              <w:t>20 868 539,0</w:t>
            </w:r>
          </w:p>
        </w:tc>
        <w:tc>
          <w:tcPr>
            <w:tcW w:w="718" w:type="pct"/>
            <w:vAlign w:val="center"/>
            <w:hideMark/>
          </w:tcPr>
          <w:p w:rsidR="00933753" w:rsidRPr="00211DEE" w:rsidRDefault="00933753" w:rsidP="00933753">
            <w:pPr>
              <w:tabs>
                <w:tab w:val="left" w:pos="101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11DEE">
              <w:rPr>
                <w:sz w:val="18"/>
                <w:szCs w:val="18"/>
                <w:lang w:eastAsia="ru-RU"/>
              </w:rPr>
              <w:t>22 371 073,81</w:t>
            </w:r>
          </w:p>
        </w:tc>
        <w:tc>
          <w:tcPr>
            <w:tcW w:w="718" w:type="pct"/>
            <w:vAlign w:val="center"/>
            <w:hideMark/>
          </w:tcPr>
          <w:p w:rsidR="00933753" w:rsidRPr="00211DEE" w:rsidRDefault="00933753" w:rsidP="00933753">
            <w:pPr>
              <w:tabs>
                <w:tab w:val="left" w:pos="101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211DEE">
              <w:rPr>
                <w:sz w:val="18"/>
                <w:szCs w:val="18"/>
                <w:lang w:eastAsia="ru-RU"/>
              </w:rPr>
              <w:t>23 646 225,02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933753" w:rsidRPr="00211DEE" w:rsidRDefault="00933753" w:rsidP="00933753">
            <w:pPr>
              <w:tabs>
                <w:tab w:val="left" w:pos="1011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211DEE">
              <w:rPr>
                <w:color w:val="000000"/>
                <w:sz w:val="18"/>
                <w:szCs w:val="18"/>
              </w:rPr>
              <w:t>24 899 474,95</w:t>
            </w:r>
          </w:p>
        </w:tc>
      </w:tr>
      <w:tr w:rsidR="00933753" w:rsidRPr="00134C43" w:rsidTr="00933753">
        <w:trPr>
          <w:trHeight w:val="679"/>
        </w:trPr>
        <w:tc>
          <w:tcPr>
            <w:tcW w:w="1515" w:type="pct"/>
            <w:hideMark/>
          </w:tcPr>
          <w:p w:rsidR="00933753" w:rsidRPr="00134C43" w:rsidRDefault="00933753" w:rsidP="0093375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ru-RU"/>
              </w:rPr>
            </w:pPr>
            <w:r w:rsidRPr="00134C43">
              <w:rPr>
                <w:i/>
                <w:iCs/>
                <w:sz w:val="20"/>
                <w:szCs w:val="20"/>
                <w:lang w:eastAsia="ru-RU"/>
              </w:rPr>
              <w:lastRenderedPageBreak/>
              <w:t>1.1. Темп роста в действующих ценах, к соответствующему периоду предыдущего года, %</w:t>
            </w:r>
          </w:p>
        </w:tc>
        <w:tc>
          <w:tcPr>
            <w:tcW w:w="665" w:type="pct"/>
            <w:vAlign w:val="center"/>
            <w:hideMark/>
          </w:tcPr>
          <w:p w:rsidR="00933753" w:rsidRPr="00211DEE" w:rsidRDefault="00933753" w:rsidP="00933753">
            <w:pPr>
              <w:tabs>
                <w:tab w:val="left" w:pos="1011"/>
              </w:tabs>
              <w:autoSpaceDE w:val="0"/>
              <w:autoSpaceDN w:val="0"/>
              <w:adjustRightInd w:val="0"/>
              <w:ind w:firstLine="567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211DEE">
              <w:rPr>
                <w:i/>
                <w:iCs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665" w:type="pct"/>
            <w:vAlign w:val="center"/>
            <w:hideMark/>
          </w:tcPr>
          <w:p w:rsidR="00933753" w:rsidRPr="00211DEE" w:rsidRDefault="00933753" w:rsidP="00933753">
            <w:pPr>
              <w:tabs>
                <w:tab w:val="left" w:pos="1011"/>
              </w:tabs>
              <w:autoSpaceDE w:val="0"/>
              <w:autoSpaceDN w:val="0"/>
              <w:adjustRightInd w:val="0"/>
              <w:ind w:firstLine="567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211DEE">
              <w:rPr>
                <w:i/>
                <w:iCs/>
                <w:sz w:val="18"/>
                <w:szCs w:val="18"/>
                <w:lang w:eastAsia="ru-RU"/>
              </w:rPr>
              <w:t>80,87</w:t>
            </w:r>
          </w:p>
        </w:tc>
        <w:tc>
          <w:tcPr>
            <w:tcW w:w="718" w:type="pct"/>
            <w:vAlign w:val="center"/>
            <w:hideMark/>
          </w:tcPr>
          <w:p w:rsidR="00933753" w:rsidRPr="00211DEE" w:rsidRDefault="00933753" w:rsidP="00933753">
            <w:pPr>
              <w:tabs>
                <w:tab w:val="left" w:pos="1011"/>
              </w:tabs>
              <w:autoSpaceDE w:val="0"/>
              <w:autoSpaceDN w:val="0"/>
              <w:adjustRightInd w:val="0"/>
              <w:ind w:firstLine="567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211DEE">
              <w:rPr>
                <w:i/>
                <w:iCs/>
                <w:sz w:val="18"/>
                <w:szCs w:val="18"/>
                <w:lang w:eastAsia="ru-RU"/>
              </w:rPr>
              <w:t>107,50</w:t>
            </w:r>
          </w:p>
        </w:tc>
        <w:tc>
          <w:tcPr>
            <w:tcW w:w="718" w:type="pct"/>
            <w:vAlign w:val="center"/>
            <w:hideMark/>
          </w:tcPr>
          <w:p w:rsidR="00933753" w:rsidRPr="00211DEE" w:rsidRDefault="00933753" w:rsidP="00933753">
            <w:pPr>
              <w:tabs>
                <w:tab w:val="left" w:pos="1011"/>
              </w:tabs>
              <w:autoSpaceDE w:val="0"/>
              <w:autoSpaceDN w:val="0"/>
              <w:adjustRightInd w:val="0"/>
              <w:ind w:firstLine="567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211DEE">
              <w:rPr>
                <w:i/>
                <w:iCs/>
                <w:sz w:val="18"/>
                <w:szCs w:val="18"/>
                <w:lang w:eastAsia="ru-RU"/>
              </w:rPr>
              <w:t>106,00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933753" w:rsidRPr="00211DEE" w:rsidRDefault="00933753" w:rsidP="00933753">
            <w:pPr>
              <w:tabs>
                <w:tab w:val="left" w:pos="1011"/>
              </w:tabs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11DEE">
              <w:rPr>
                <w:i/>
                <w:iCs/>
                <w:color w:val="000000"/>
                <w:sz w:val="18"/>
                <w:szCs w:val="18"/>
              </w:rPr>
              <w:t>105,60</w:t>
            </w:r>
          </w:p>
        </w:tc>
      </w:tr>
      <w:tr w:rsidR="00933753" w:rsidRPr="00134C43" w:rsidTr="00933753">
        <w:trPr>
          <w:trHeight w:val="311"/>
        </w:trPr>
        <w:tc>
          <w:tcPr>
            <w:tcW w:w="1515" w:type="pct"/>
            <w:hideMark/>
          </w:tcPr>
          <w:p w:rsidR="00933753" w:rsidRPr="00134C43" w:rsidRDefault="00933753" w:rsidP="0093375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ru-RU"/>
              </w:rPr>
            </w:pPr>
            <w:r w:rsidRPr="00134C43">
              <w:rPr>
                <w:i/>
                <w:iCs/>
                <w:sz w:val="20"/>
                <w:szCs w:val="20"/>
                <w:lang w:eastAsia="ru-RU"/>
              </w:rPr>
              <w:t>1.2. Индекс-дефлятор, %</w:t>
            </w:r>
          </w:p>
        </w:tc>
        <w:tc>
          <w:tcPr>
            <w:tcW w:w="665" w:type="pct"/>
            <w:vAlign w:val="center"/>
            <w:hideMark/>
          </w:tcPr>
          <w:p w:rsidR="00933753" w:rsidRPr="00211DEE" w:rsidRDefault="00933753" w:rsidP="00933753">
            <w:pPr>
              <w:tabs>
                <w:tab w:val="left" w:pos="1011"/>
              </w:tabs>
              <w:autoSpaceDE w:val="0"/>
              <w:autoSpaceDN w:val="0"/>
              <w:adjustRightInd w:val="0"/>
              <w:ind w:firstLine="567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211DEE">
              <w:rPr>
                <w:i/>
                <w:iCs/>
                <w:sz w:val="18"/>
                <w:szCs w:val="18"/>
                <w:lang w:eastAsia="ru-RU"/>
              </w:rPr>
              <w:t>107,4</w:t>
            </w:r>
          </w:p>
        </w:tc>
        <w:tc>
          <w:tcPr>
            <w:tcW w:w="665" w:type="pct"/>
            <w:vAlign w:val="center"/>
            <w:hideMark/>
          </w:tcPr>
          <w:p w:rsidR="00933753" w:rsidRPr="00211DEE" w:rsidRDefault="00933753" w:rsidP="00933753">
            <w:pPr>
              <w:tabs>
                <w:tab w:val="left" w:pos="1011"/>
              </w:tabs>
              <w:autoSpaceDE w:val="0"/>
              <w:autoSpaceDN w:val="0"/>
              <w:adjustRightInd w:val="0"/>
              <w:ind w:firstLine="567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211DEE">
              <w:rPr>
                <w:i/>
                <w:iCs/>
                <w:sz w:val="18"/>
                <w:szCs w:val="18"/>
                <w:lang w:eastAsia="ru-RU"/>
              </w:rPr>
              <w:t>117,4</w:t>
            </w:r>
          </w:p>
        </w:tc>
        <w:tc>
          <w:tcPr>
            <w:tcW w:w="718" w:type="pct"/>
            <w:vAlign w:val="center"/>
            <w:hideMark/>
          </w:tcPr>
          <w:p w:rsidR="00933753" w:rsidRPr="00211DEE" w:rsidRDefault="00933753" w:rsidP="00933753">
            <w:pPr>
              <w:tabs>
                <w:tab w:val="left" w:pos="1011"/>
              </w:tabs>
              <w:autoSpaceDE w:val="0"/>
              <w:autoSpaceDN w:val="0"/>
              <w:adjustRightInd w:val="0"/>
              <w:ind w:firstLine="567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211DEE">
              <w:rPr>
                <w:i/>
                <w:iCs/>
                <w:sz w:val="18"/>
                <w:szCs w:val="18"/>
                <w:lang w:eastAsia="ru-RU"/>
              </w:rPr>
              <w:t>107,2</w:t>
            </w:r>
          </w:p>
        </w:tc>
        <w:tc>
          <w:tcPr>
            <w:tcW w:w="718" w:type="pct"/>
            <w:vAlign w:val="center"/>
            <w:hideMark/>
          </w:tcPr>
          <w:p w:rsidR="00933753" w:rsidRPr="00211DEE" w:rsidRDefault="00933753" w:rsidP="00933753">
            <w:pPr>
              <w:tabs>
                <w:tab w:val="left" w:pos="1011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211DEE">
              <w:rPr>
                <w:i/>
                <w:iCs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933753" w:rsidRPr="00211DEE" w:rsidRDefault="00933753" w:rsidP="00933753">
            <w:pPr>
              <w:tabs>
                <w:tab w:val="left" w:pos="1011"/>
              </w:tabs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11DEE">
              <w:rPr>
                <w:i/>
                <w:iCs/>
                <w:color w:val="000000"/>
                <w:sz w:val="18"/>
                <w:szCs w:val="18"/>
              </w:rPr>
              <w:t>105,3</w:t>
            </w:r>
          </w:p>
        </w:tc>
      </w:tr>
      <w:tr w:rsidR="00933753" w:rsidRPr="00134C43" w:rsidTr="00933753">
        <w:trPr>
          <w:trHeight w:val="745"/>
        </w:trPr>
        <w:tc>
          <w:tcPr>
            <w:tcW w:w="1515" w:type="pct"/>
            <w:hideMark/>
          </w:tcPr>
          <w:p w:rsidR="00933753" w:rsidRPr="00134C43" w:rsidRDefault="00933753" w:rsidP="0093375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ru-RU"/>
              </w:rPr>
            </w:pPr>
            <w:r w:rsidRPr="00134C43">
              <w:rPr>
                <w:i/>
                <w:iCs/>
                <w:sz w:val="20"/>
                <w:szCs w:val="20"/>
                <w:lang w:eastAsia="ru-RU"/>
              </w:rPr>
              <w:t>1.3. Темп роста в сопоставимых ценах, к соответствующему периоду предыдущего года, %</w:t>
            </w:r>
          </w:p>
        </w:tc>
        <w:tc>
          <w:tcPr>
            <w:tcW w:w="665" w:type="pct"/>
            <w:vAlign w:val="center"/>
            <w:hideMark/>
          </w:tcPr>
          <w:p w:rsidR="00933753" w:rsidRPr="00211DEE" w:rsidRDefault="00933753" w:rsidP="00933753">
            <w:pPr>
              <w:tabs>
                <w:tab w:val="left" w:pos="1011"/>
              </w:tabs>
              <w:autoSpaceDE w:val="0"/>
              <w:autoSpaceDN w:val="0"/>
              <w:adjustRightInd w:val="0"/>
              <w:ind w:firstLine="567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211DEE">
              <w:rPr>
                <w:i/>
                <w:iCs/>
                <w:sz w:val="18"/>
                <w:szCs w:val="18"/>
                <w:lang w:eastAsia="ru-RU"/>
              </w:rPr>
              <w:t>97,58</w:t>
            </w:r>
          </w:p>
        </w:tc>
        <w:tc>
          <w:tcPr>
            <w:tcW w:w="665" w:type="pct"/>
            <w:vAlign w:val="center"/>
            <w:hideMark/>
          </w:tcPr>
          <w:p w:rsidR="00933753" w:rsidRPr="00211DEE" w:rsidRDefault="00933753" w:rsidP="00933753">
            <w:pPr>
              <w:tabs>
                <w:tab w:val="left" w:pos="1011"/>
              </w:tabs>
              <w:autoSpaceDE w:val="0"/>
              <w:autoSpaceDN w:val="0"/>
              <w:adjustRightInd w:val="0"/>
              <w:ind w:firstLine="567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211DEE">
              <w:rPr>
                <w:i/>
                <w:iCs/>
                <w:sz w:val="18"/>
                <w:szCs w:val="18"/>
                <w:lang w:eastAsia="ru-RU"/>
              </w:rPr>
              <w:t>68,89</w:t>
            </w:r>
          </w:p>
        </w:tc>
        <w:tc>
          <w:tcPr>
            <w:tcW w:w="718" w:type="pct"/>
            <w:vAlign w:val="center"/>
            <w:hideMark/>
          </w:tcPr>
          <w:p w:rsidR="00933753" w:rsidRPr="00211DEE" w:rsidRDefault="00933753" w:rsidP="00933753">
            <w:pPr>
              <w:tabs>
                <w:tab w:val="left" w:pos="1011"/>
              </w:tabs>
              <w:autoSpaceDE w:val="0"/>
              <w:autoSpaceDN w:val="0"/>
              <w:adjustRightInd w:val="0"/>
              <w:ind w:firstLine="567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211DEE">
              <w:rPr>
                <w:i/>
                <w:iCs/>
                <w:sz w:val="18"/>
                <w:szCs w:val="18"/>
                <w:lang w:eastAsia="ru-RU"/>
              </w:rPr>
              <w:t>100,28</w:t>
            </w:r>
          </w:p>
        </w:tc>
        <w:tc>
          <w:tcPr>
            <w:tcW w:w="718" w:type="pct"/>
            <w:vAlign w:val="center"/>
            <w:hideMark/>
          </w:tcPr>
          <w:p w:rsidR="00933753" w:rsidRPr="00211DEE" w:rsidRDefault="00933753" w:rsidP="00933753">
            <w:pPr>
              <w:tabs>
                <w:tab w:val="left" w:pos="1011"/>
              </w:tabs>
              <w:autoSpaceDE w:val="0"/>
              <w:autoSpaceDN w:val="0"/>
              <w:adjustRightInd w:val="0"/>
              <w:ind w:firstLine="567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211DEE">
              <w:rPr>
                <w:i/>
                <w:iCs/>
                <w:sz w:val="18"/>
                <w:szCs w:val="18"/>
                <w:lang w:eastAsia="ru-RU"/>
              </w:rPr>
              <w:t>100,28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933753" w:rsidRPr="00211DEE" w:rsidRDefault="00933753" w:rsidP="00933753">
            <w:pPr>
              <w:tabs>
                <w:tab w:val="left" w:pos="1011"/>
              </w:tabs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11DEE">
              <w:rPr>
                <w:i/>
                <w:iCs/>
                <w:color w:val="000000"/>
                <w:sz w:val="18"/>
                <w:szCs w:val="18"/>
              </w:rPr>
              <w:t>100,28</w:t>
            </w:r>
          </w:p>
        </w:tc>
      </w:tr>
      <w:tr w:rsidR="00933753" w:rsidRPr="00134C43" w:rsidTr="00933753">
        <w:trPr>
          <w:trHeight w:val="648"/>
        </w:trPr>
        <w:tc>
          <w:tcPr>
            <w:tcW w:w="1515" w:type="pct"/>
            <w:hideMark/>
          </w:tcPr>
          <w:p w:rsidR="00933753" w:rsidRPr="00134C43" w:rsidRDefault="00933753" w:rsidP="0093375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134C43">
              <w:rPr>
                <w:sz w:val="20"/>
                <w:szCs w:val="20"/>
                <w:lang w:eastAsia="ru-RU"/>
              </w:rPr>
              <w:t>2. Инвестиции в основной капитал за счет бюджетных средств, тыс. руб.</w:t>
            </w:r>
          </w:p>
        </w:tc>
        <w:tc>
          <w:tcPr>
            <w:tcW w:w="665" w:type="pct"/>
            <w:vAlign w:val="center"/>
            <w:hideMark/>
          </w:tcPr>
          <w:p w:rsidR="00933753" w:rsidRPr="00211DEE" w:rsidRDefault="00933753" w:rsidP="00933753">
            <w:pPr>
              <w:tabs>
                <w:tab w:val="left" w:pos="101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11DEE">
              <w:rPr>
                <w:sz w:val="18"/>
                <w:szCs w:val="18"/>
                <w:lang w:eastAsia="ru-RU"/>
              </w:rPr>
              <w:t>350 865,0</w:t>
            </w:r>
          </w:p>
        </w:tc>
        <w:tc>
          <w:tcPr>
            <w:tcW w:w="665" w:type="pct"/>
            <w:vAlign w:val="center"/>
            <w:hideMark/>
          </w:tcPr>
          <w:p w:rsidR="00933753" w:rsidRPr="00211DEE" w:rsidRDefault="00933753" w:rsidP="00933753">
            <w:pPr>
              <w:tabs>
                <w:tab w:val="left" w:pos="1011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  <w:lang w:eastAsia="ru-RU"/>
              </w:rPr>
            </w:pPr>
            <w:r w:rsidRPr="00211DEE">
              <w:rPr>
                <w:sz w:val="18"/>
                <w:szCs w:val="18"/>
                <w:lang w:eastAsia="ru-RU"/>
              </w:rPr>
              <w:t>642 415,0</w:t>
            </w:r>
          </w:p>
        </w:tc>
        <w:tc>
          <w:tcPr>
            <w:tcW w:w="718" w:type="pct"/>
            <w:vAlign w:val="center"/>
            <w:hideMark/>
          </w:tcPr>
          <w:p w:rsidR="00933753" w:rsidRPr="00211DEE" w:rsidRDefault="00933753" w:rsidP="00933753">
            <w:pPr>
              <w:tabs>
                <w:tab w:val="left" w:pos="1011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  <w:lang w:eastAsia="ru-RU"/>
              </w:rPr>
            </w:pPr>
            <w:r w:rsidRPr="00211DEE">
              <w:rPr>
                <w:sz w:val="18"/>
                <w:szCs w:val="18"/>
                <w:lang w:eastAsia="ru-RU"/>
              </w:rPr>
              <w:t>383 548,70</w:t>
            </w:r>
          </w:p>
        </w:tc>
        <w:tc>
          <w:tcPr>
            <w:tcW w:w="718" w:type="pct"/>
            <w:vAlign w:val="center"/>
            <w:hideMark/>
          </w:tcPr>
          <w:p w:rsidR="00933753" w:rsidRPr="00211DEE" w:rsidRDefault="00933753" w:rsidP="00933753">
            <w:pPr>
              <w:tabs>
                <w:tab w:val="left" w:pos="1011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211DEE">
              <w:rPr>
                <w:color w:val="000000"/>
                <w:sz w:val="18"/>
                <w:szCs w:val="18"/>
              </w:rPr>
              <w:t>73 460,50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933753" w:rsidRPr="00211DEE" w:rsidRDefault="00933753" w:rsidP="00933753">
            <w:pPr>
              <w:tabs>
                <w:tab w:val="left" w:pos="1011"/>
              </w:tabs>
              <w:jc w:val="center"/>
              <w:rPr>
                <w:color w:val="000000"/>
                <w:sz w:val="18"/>
                <w:szCs w:val="18"/>
              </w:rPr>
            </w:pPr>
            <w:r w:rsidRPr="00211DEE">
              <w:rPr>
                <w:color w:val="000000"/>
                <w:sz w:val="18"/>
                <w:szCs w:val="18"/>
              </w:rPr>
              <w:t>14 805,30</w:t>
            </w:r>
          </w:p>
        </w:tc>
      </w:tr>
      <w:tr w:rsidR="00933753" w:rsidRPr="00134C43" w:rsidTr="00933753">
        <w:trPr>
          <w:trHeight w:val="542"/>
        </w:trPr>
        <w:tc>
          <w:tcPr>
            <w:tcW w:w="1515" w:type="pct"/>
            <w:hideMark/>
          </w:tcPr>
          <w:p w:rsidR="00933753" w:rsidRPr="00134C43" w:rsidRDefault="00933753" w:rsidP="0093375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134C43">
              <w:rPr>
                <w:sz w:val="20"/>
                <w:szCs w:val="20"/>
                <w:lang w:eastAsia="ru-RU"/>
              </w:rPr>
              <w:t>3. Объем инвестиций без бюджетных средств, тыс. руб. (стр. 1 – стр. 2)</w:t>
            </w:r>
          </w:p>
        </w:tc>
        <w:tc>
          <w:tcPr>
            <w:tcW w:w="665" w:type="pct"/>
            <w:vAlign w:val="center"/>
            <w:hideMark/>
          </w:tcPr>
          <w:p w:rsidR="00933753" w:rsidRPr="00211DEE" w:rsidRDefault="00933753" w:rsidP="00933753">
            <w:pPr>
              <w:tabs>
                <w:tab w:val="left" w:pos="101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11DEE">
              <w:rPr>
                <w:sz w:val="18"/>
                <w:szCs w:val="18"/>
                <w:lang w:eastAsia="ru-RU"/>
              </w:rPr>
              <w:t>25 452 749,0</w:t>
            </w:r>
          </w:p>
        </w:tc>
        <w:tc>
          <w:tcPr>
            <w:tcW w:w="665" w:type="pct"/>
            <w:vAlign w:val="center"/>
            <w:hideMark/>
          </w:tcPr>
          <w:p w:rsidR="00933753" w:rsidRPr="00211DEE" w:rsidRDefault="00933753" w:rsidP="00933753">
            <w:pPr>
              <w:tabs>
                <w:tab w:val="left" w:pos="101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11DEE">
              <w:rPr>
                <w:sz w:val="18"/>
                <w:szCs w:val="18"/>
                <w:lang w:eastAsia="ru-RU"/>
              </w:rPr>
              <w:t>20 226 124,0</w:t>
            </w:r>
          </w:p>
        </w:tc>
        <w:tc>
          <w:tcPr>
            <w:tcW w:w="718" w:type="pct"/>
            <w:vAlign w:val="center"/>
            <w:hideMark/>
          </w:tcPr>
          <w:p w:rsidR="00933753" w:rsidRPr="00211DEE" w:rsidRDefault="00933753" w:rsidP="00933753">
            <w:pPr>
              <w:tabs>
                <w:tab w:val="left" w:pos="101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11DEE">
              <w:rPr>
                <w:sz w:val="18"/>
                <w:szCs w:val="18"/>
                <w:lang w:eastAsia="ru-RU"/>
              </w:rPr>
              <w:t>22 002 512,26</w:t>
            </w:r>
          </w:p>
        </w:tc>
        <w:tc>
          <w:tcPr>
            <w:tcW w:w="718" w:type="pct"/>
            <w:vAlign w:val="center"/>
            <w:hideMark/>
          </w:tcPr>
          <w:p w:rsidR="00933753" w:rsidRPr="00211DEE" w:rsidRDefault="00933753" w:rsidP="00933753">
            <w:pPr>
              <w:tabs>
                <w:tab w:val="left" w:pos="1011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211DEE">
              <w:rPr>
                <w:color w:val="000000"/>
                <w:sz w:val="18"/>
                <w:szCs w:val="18"/>
              </w:rPr>
              <w:t>23 572 764,52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933753" w:rsidRPr="00211DEE" w:rsidRDefault="00933753" w:rsidP="00933753">
            <w:pPr>
              <w:tabs>
                <w:tab w:val="left" w:pos="1011"/>
              </w:tabs>
              <w:jc w:val="center"/>
              <w:rPr>
                <w:color w:val="000000"/>
                <w:sz w:val="18"/>
                <w:szCs w:val="18"/>
              </w:rPr>
            </w:pPr>
            <w:r w:rsidRPr="00211DEE">
              <w:rPr>
                <w:color w:val="000000"/>
                <w:sz w:val="18"/>
                <w:szCs w:val="18"/>
              </w:rPr>
              <w:t>24 884 669,65</w:t>
            </w:r>
          </w:p>
        </w:tc>
      </w:tr>
      <w:tr w:rsidR="00933753" w:rsidRPr="00134C43" w:rsidTr="00933753">
        <w:trPr>
          <w:trHeight w:val="745"/>
        </w:trPr>
        <w:tc>
          <w:tcPr>
            <w:tcW w:w="1515" w:type="pct"/>
            <w:hideMark/>
          </w:tcPr>
          <w:p w:rsidR="00933753" w:rsidRPr="00134C43" w:rsidRDefault="00933753" w:rsidP="0093375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134C43">
              <w:rPr>
                <w:sz w:val="20"/>
                <w:szCs w:val="20"/>
                <w:lang w:eastAsia="ru-RU"/>
              </w:rPr>
              <w:t xml:space="preserve">4. </w:t>
            </w:r>
            <w:r w:rsidRPr="00134C43">
              <w:rPr>
                <w:bCs/>
                <w:sz w:val="20"/>
                <w:szCs w:val="20"/>
                <w:lang w:eastAsia="ru-RU"/>
              </w:rPr>
              <w:t xml:space="preserve">Среднегодовая </w:t>
            </w:r>
            <w:r w:rsidRPr="00134C43">
              <w:rPr>
                <w:sz w:val="20"/>
                <w:szCs w:val="20"/>
                <w:lang w:eastAsia="ru-RU"/>
              </w:rPr>
              <w:t>численность населения муниципального, городского округа (муниципального района), чел.</w:t>
            </w:r>
          </w:p>
        </w:tc>
        <w:tc>
          <w:tcPr>
            <w:tcW w:w="665" w:type="pct"/>
            <w:vAlign w:val="center"/>
            <w:hideMark/>
          </w:tcPr>
          <w:p w:rsidR="00933753" w:rsidRPr="00211DEE" w:rsidRDefault="00933753" w:rsidP="00933753">
            <w:pPr>
              <w:tabs>
                <w:tab w:val="left" w:pos="101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11DEE">
              <w:rPr>
                <w:sz w:val="18"/>
                <w:szCs w:val="18"/>
                <w:lang w:eastAsia="ru-RU"/>
              </w:rPr>
              <w:t>9662</w:t>
            </w:r>
          </w:p>
        </w:tc>
        <w:tc>
          <w:tcPr>
            <w:tcW w:w="665" w:type="pct"/>
            <w:vAlign w:val="center"/>
            <w:hideMark/>
          </w:tcPr>
          <w:p w:rsidR="00933753" w:rsidRPr="00211DEE" w:rsidRDefault="00933753" w:rsidP="00933753">
            <w:pPr>
              <w:tabs>
                <w:tab w:val="left" w:pos="1011"/>
              </w:tabs>
              <w:autoSpaceDE w:val="0"/>
              <w:autoSpaceDN w:val="0"/>
              <w:adjustRightInd w:val="0"/>
              <w:ind w:firstLine="35"/>
              <w:jc w:val="center"/>
              <w:rPr>
                <w:sz w:val="18"/>
                <w:szCs w:val="18"/>
                <w:lang w:eastAsia="ru-RU"/>
              </w:rPr>
            </w:pPr>
          </w:p>
          <w:p w:rsidR="00933753" w:rsidRPr="00211DEE" w:rsidRDefault="00933753" w:rsidP="00933753">
            <w:pPr>
              <w:tabs>
                <w:tab w:val="left" w:pos="1011"/>
              </w:tabs>
              <w:autoSpaceDE w:val="0"/>
              <w:autoSpaceDN w:val="0"/>
              <w:adjustRightInd w:val="0"/>
              <w:ind w:firstLine="35"/>
              <w:jc w:val="center"/>
              <w:rPr>
                <w:sz w:val="18"/>
                <w:szCs w:val="18"/>
                <w:lang w:eastAsia="ru-RU"/>
              </w:rPr>
            </w:pPr>
            <w:r w:rsidRPr="00211DEE">
              <w:rPr>
                <w:sz w:val="18"/>
                <w:szCs w:val="18"/>
                <w:lang w:eastAsia="ru-RU"/>
              </w:rPr>
              <w:t>8572</w:t>
            </w:r>
          </w:p>
          <w:p w:rsidR="00933753" w:rsidRPr="00211DEE" w:rsidRDefault="00933753" w:rsidP="00933753">
            <w:pPr>
              <w:tabs>
                <w:tab w:val="left" w:pos="1011"/>
              </w:tabs>
              <w:autoSpaceDE w:val="0"/>
              <w:autoSpaceDN w:val="0"/>
              <w:adjustRightInd w:val="0"/>
              <w:ind w:firstLine="35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Align w:val="center"/>
            <w:hideMark/>
          </w:tcPr>
          <w:p w:rsidR="00933753" w:rsidRPr="00211DEE" w:rsidRDefault="00933753" w:rsidP="00933753">
            <w:pPr>
              <w:tabs>
                <w:tab w:val="left" w:pos="1011"/>
              </w:tabs>
              <w:autoSpaceDE w:val="0"/>
              <w:autoSpaceDN w:val="0"/>
              <w:adjustRightInd w:val="0"/>
              <w:ind w:firstLine="35"/>
              <w:jc w:val="center"/>
              <w:rPr>
                <w:sz w:val="18"/>
                <w:szCs w:val="18"/>
                <w:lang w:eastAsia="ru-RU"/>
              </w:rPr>
            </w:pPr>
          </w:p>
          <w:p w:rsidR="00933753" w:rsidRPr="00211DEE" w:rsidRDefault="00933753" w:rsidP="00933753">
            <w:pPr>
              <w:tabs>
                <w:tab w:val="left" w:pos="1011"/>
              </w:tabs>
              <w:autoSpaceDE w:val="0"/>
              <w:autoSpaceDN w:val="0"/>
              <w:adjustRightInd w:val="0"/>
              <w:ind w:firstLine="35"/>
              <w:jc w:val="center"/>
              <w:rPr>
                <w:sz w:val="18"/>
                <w:szCs w:val="18"/>
                <w:lang w:eastAsia="ru-RU"/>
              </w:rPr>
            </w:pPr>
            <w:r w:rsidRPr="00211DEE">
              <w:rPr>
                <w:sz w:val="18"/>
                <w:szCs w:val="18"/>
                <w:lang w:eastAsia="ru-RU"/>
              </w:rPr>
              <w:t>8414</w:t>
            </w:r>
          </w:p>
          <w:p w:rsidR="00933753" w:rsidRPr="00211DEE" w:rsidRDefault="00933753" w:rsidP="00933753">
            <w:pPr>
              <w:tabs>
                <w:tab w:val="left" w:pos="1011"/>
              </w:tabs>
              <w:autoSpaceDE w:val="0"/>
              <w:autoSpaceDN w:val="0"/>
              <w:adjustRightInd w:val="0"/>
              <w:ind w:firstLine="35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vAlign w:val="center"/>
            <w:hideMark/>
          </w:tcPr>
          <w:p w:rsidR="00933753" w:rsidRPr="00211DEE" w:rsidRDefault="00933753" w:rsidP="00933753">
            <w:pPr>
              <w:tabs>
                <w:tab w:val="left" w:pos="1011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211DEE">
              <w:rPr>
                <w:color w:val="000000"/>
                <w:sz w:val="18"/>
                <w:szCs w:val="18"/>
              </w:rPr>
              <w:t>8 258</w:t>
            </w:r>
          </w:p>
        </w:tc>
        <w:tc>
          <w:tcPr>
            <w:tcW w:w="719" w:type="pct"/>
            <w:vAlign w:val="center"/>
            <w:hideMark/>
          </w:tcPr>
          <w:p w:rsidR="00933753" w:rsidRPr="00211DEE" w:rsidRDefault="00933753" w:rsidP="00933753">
            <w:pPr>
              <w:tabs>
                <w:tab w:val="left" w:pos="1011"/>
              </w:tabs>
              <w:jc w:val="center"/>
              <w:rPr>
                <w:color w:val="000000"/>
                <w:sz w:val="18"/>
                <w:szCs w:val="18"/>
              </w:rPr>
            </w:pPr>
            <w:r w:rsidRPr="00211DEE">
              <w:rPr>
                <w:color w:val="000000"/>
                <w:sz w:val="18"/>
                <w:szCs w:val="18"/>
              </w:rPr>
              <w:t>8 104</w:t>
            </w:r>
          </w:p>
        </w:tc>
      </w:tr>
      <w:tr w:rsidR="00933753" w:rsidRPr="00134C43" w:rsidTr="00933753">
        <w:trPr>
          <w:trHeight w:val="876"/>
        </w:trPr>
        <w:tc>
          <w:tcPr>
            <w:tcW w:w="1515" w:type="pct"/>
            <w:hideMark/>
          </w:tcPr>
          <w:p w:rsidR="00933753" w:rsidRPr="00134C43" w:rsidRDefault="00933753" w:rsidP="0093375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134C43">
              <w:rPr>
                <w:bCs/>
                <w:sz w:val="20"/>
                <w:szCs w:val="20"/>
                <w:lang w:eastAsia="ru-RU"/>
              </w:rPr>
              <w:t>5. Объем инвестиций в основной капитал (за исключением бюджетных средств) в расчете на 1 человека населения, руб. (стр. 3*1000/стр. 4)</w:t>
            </w:r>
          </w:p>
        </w:tc>
        <w:tc>
          <w:tcPr>
            <w:tcW w:w="665" w:type="pct"/>
            <w:vAlign w:val="center"/>
            <w:hideMark/>
          </w:tcPr>
          <w:p w:rsidR="00933753" w:rsidRPr="00211DEE" w:rsidRDefault="00933753" w:rsidP="00933753">
            <w:pPr>
              <w:tabs>
                <w:tab w:val="left" w:pos="1011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211DEE">
              <w:rPr>
                <w:bCs/>
                <w:sz w:val="18"/>
                <w:szCs w:val="18"/>
                <w:lang w:eastAsia="ru-RU"/>
              </w:rPr>
              <w:t>2 573 584,33</w:t>
            </w:r>
          </w:p>
        </w:tc>
        <w:tc>
          <w:tcPr>
            <w:tcW w:w="665" w:type="pct"/>
            <w:vAlign w:val="center"/>
            <w:hideMark/>
          </w:tcPr>
          <w:p w:rsidR="00933753" w:rsidRPr="00211DEE" w:rsidRDefault="00933753" w:rsidP="00933753">
            <w:pPr>
              <w:tabs>
                <w:tab w:val="left" w:pos="1011"/>
              </w:tabs>
              <w:autoSpaceDE w:val="0"/>
              <w:autoSpaceDN w:val="0"/>
              <w:adjustRightInd w:val="0"/>
              <w:ind w:firstLine="34"/>
              <w:jc w:val="center"/>
              <w:rPr>
                <w:bCs/>
                <w:sz w:val="18"/>
                <w:szCs w:val="18"/>
                <w:lang w:eastAsia="ru-RU"/>
              </w:rPr>
            </w:pPr>
            <w:r w:rsidRPr="00211DEE">
              <w:rPr>
                <w:bCs/>
                <w:sz w:val="18"/>
                <w:szCs w:val="18"/>
                <w:lang w:eastAsia="ru-RU"/>
              </w:rPr>
              <w:t>2 359 557,16</w:t>
            </w:r>
          </w:p>
        </w:tc>
        <w:tc>
          <w:tcPr>
            <w:tcW w:w="718" w:type="pct"/>
            <w:vAlign w:val="center"/>
            <w:hideMark/>
          </w:tcPr>
          <w:p w:rsidR="00933753" w:rsidRPr="00211DEE" w:rsidRDefault="00933753" w:rsidP="00933753">
            <w:pPr>
              <w:tabs>
                <w:tab w:val="left" w:pos="1011"/>
              </w:tabs>
              <w:autoSpaceDE w:val="0"/>
              <w:autoSpaceDN w:val="0"/>
              <w:adjustRightInd w:val="0"/>
              <w:ind w:firstLine="34"/>
              <w:jc w:val="center"/>
              <w:rPr>
                <w:bCs/>
                <w:sz w:val="18"/>
                <w:szCs w:val="18"/>
                <w:lang w:eastAsia="ru-RU"/>
              </w:rPr>
            </w:pPr>
            <w:r w:rsidRPr="00211DEE">
              <w:rPr>
                <w:bCs/>
                <w:sz w:val="18"/>
                <w:szCs w:val="18"/>
                <w:lang w:eastAsia="ru-RU"/>
              </w:rPr>
              <w:t>2 613 207,17</w:t>
            </w:r>
          </w:p>
        </w:tc>
        <w:tc>
          <w:tcPr>
            <w:tcW w:w="718" w:type="pct"/>
            <w:vAlign w:val="center"/>
            <w:hideMark/>
          </w:tcPr>
          <w:p w:rsidR="00933753" w:rsidRPr="00211DEE" w:rsidRDefault="00933753" w:rsidP="00933753">
            <w:pPr>
              <w:tabs>
                <w:tab w:val="left" w:pos="1011"/>
              </w:tabs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211DEE">
              <w:rPr>
                <w:bCs/>
                <w:color w:val="000000"/>
                <w:sz w:val="18"/>
                <w:szCs w:val="18"/>
              </w:rPr>
              <w:t>2 854 536,75</w:t>
            </w:r>
          </w:p>
        </w:tc>
        <w:tc>
          <w:tcPr>
            <w:tcW w:w="719" w:type="pct"/>
            <w:vAlign w:val="center"/>
            <w:hideMark/>
          </w:tcPr>
          <w:p w:rsidR="00933753" w:rsidRPr="00211DEE" w:rsidRDefault="00933753" w:rsidP="00933753">
            <w:pPr>
              <w:tabs>
                <w:tab w:val="left" w:pos="1011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211DEE">
              <w:rPr>
                <w:bCs/>
                <w:color w:val="000000"/>
                <w:sz w:val="18"/>
                <w:szCs w:val="18"/>
              </w:rPr>
              <w:t>3 070 665,06</w:t>
            </w:r>
          </w:p>
        </w:tc>
      </w:tr>
    </w:tbl>
    <w:p w:rsidR="00933753" w:rsidRDefault="00933753" w:rsidP="0093375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</w:p>
    <w:p w:rsidR="00933753" w:rsidRDefault="00933753" w:rsidP="0093375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sz w:val="26"/>
          <w:szCs w:val="26"/>
          <w:lang w:eastAsia="ru-RU"/>
        </w:rPr>
        <w:t>За 2021</w:t>
      </w:r>
      <w:r w:rsidRPr="00D5196A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год объем инвестиций (без бюджетных средств) на 1 жителя составил </w:t>
      </w:r>
      <w:r>
        <w:rPr>
          <w:rFonts w:ascii="Times New Roman CYR" w:hAnsi="Times New Roman CYR" w:cs="Times New Roman CYR"/>
          <w:b/>
          <w:sz w:val="26"/>
          <w:szCs w:val="26"/>
          <w:lang w:eastAsia="ru-RU"/>
        </w:rPr>
        <w:t>2 573 584,33</w:t>
      </w:r>
      <w:r w:rsidRPr="00D5196A">
        <w:rPr>
          <w:rFonts w:ascii="Times New Roman CYR" w:hAnsi="Times New Roman CYR" w:cs="Times New Roman CYR"/>
          <w:sz w:val="26"/>
          <w:szCs w:val="26"/>
          <w:lang w:eastAsia="ru-RU"/>
        </w:rPr>
        <w:t xml:space="preserve"> руб.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</w:p>
    <w:p w:rsidR="00933753" w:rsidRDefault="00933753" w:rsidP="0093375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sz w:val="26"/>
          <w:szCs w:val="26"/>
          <w:lang w:eastAsia="ru-RU"/>
        </w:rPr>
        <w:t>В 2022</w:t>
      </w:r>
      <w:r w:rsidRPr="00124D3A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году объем инвестиций (без бюджетных средств) на 1 жителя составит </w:t>
      </w:r>
      <w:r>
        <w:rPr>
          <w:rFonts w:ascii="Times New Roman CYR" w:hAnsi="Times New Roman CYR" w:cs="Times New Roman CYR"/>
          <w:b/>
          <w:sz w:val="26"/>
          <w:szCs w:val="26"/>
          <w:lang w:eastAsia="ru-RU"/>
        </w:rPr>
        <w:t>2 359 557,16</w:t>
      </w:r>
      <w:r w:rsidRPr="00124D3A">
        <w:rPr>
          <w:rFonts w:ascii="Times New Roman CYR" w:hAnsi="Times New Roman CYR" w:cs="Times New Roman CYR"/>
          <w:b/>
          <w:sz w:val="26"/>
          <w:szCs w:val="26"/>
          <w:lang w:eastAsia="ru-RU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рублей. </w:t>
      </w:r>
    </w:p>
    <w:p w:rsidR="00933753" w:rsidRPr="00016F4E" w:rsidRDefault="00933753" w:rsidP="0093375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sz w:val="26"/>
          <w:szCs w:val="26"/>
          <w:lang w:eastAsia="ru-RU"/>
        </w:rPr>
        <w:t>В 2023</w:t>
      </w:r>
      <w:r w:rsidRPr="00124D3A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году значение данного показателя планируется на уровне </w:t>
      </w:r>
      <w:r w:rsidRPr="00016F4E">
        <w:rPr>
          <w:rFonts w:ascii="Times New Roman CYR" w:hAnsi="Times New Roman CYR" w:cs="Times New Roman CYR"/>
          <w:b/>
          <w:sz w:val="26"/>
          <w:szCs w:val="26"/>
          <w:lang w:eastAsia="ru-RU"/>
        </w:rPr>
        <w:t xml:space="preserve">2 613 207,17 </w:t>
      </w:r>
      <w:r w:rsidRPr="00016F4E">
        <w:rPr>
          <w:rFonts w:ascii="Times New Roman CYR" w:hAnsi="Times New Roman CYR" w:cs="Times New Roman CYR"/>
          <w:sz w:val="26"/>
          <w:szCs w:val="26"/>
          <w:lang w:eastAsia="ru-RU"/>
        </w:rPr>
        <w:t xml:space="preserve">рублей, 2024 году – </w:t>
      </w:r>
      <w:r>
        <w:rPr>
          <w:rFonts w:ascii="Times New Roman CYR" w:hAnsi="Times New Roman CYR" w:cs="Times New Roman CYR"/>
          <w:b/>
          <w:sz w:val="26"/>
          <w:szCs w:val="26"/>
          <w:lang w:eastAsia="ru-RU"/>
        </w:rPr>
        <w:t>2</w:t>
      </w:r>
      <w:r w:rsidRPr="00016F4E">
        <w:rPr>
          <w:rFonts w:ascii="Times New Roman CYR" w:hAnsi="Times New Roman CYR" w:cs="Times New Roman CYR"/>
          <w:b/>
          <w:sz w:val="26"/>
          <w:szCs w:val="26"/>
          <w:lang w:eastAsia="ru-RU"/>
        </w:rPr>
        <w:t> </w:t>
      </w:r>
      <w:r>
        <w:rPr>
          <w:rFonts w:ascii="Times New Roman CYR" w:hAnsi="Times New Roman CYR" w:cs="Times New Roman CYR"/>
          <w:b/>
          <w:sz w:val="26"/>
          <w:szCs w:val="26"/>
          <w:lang w:eastAsia="ru-RU"/>
        </w:rPr>
        <w:t>854</w:t>
      </w:r>
      <w:r w:rsidRPr="00016F4E">
        <w:rPr>
          <w:rFonts w:ascii="Times New Roman CYR" w:hAnsi="Times New Roman CYR" w:cs="Times New Roman CYR"/>
          <w:b/>
          <w:sz w:val="26"/>
          <w:szCs w:val="26"/>
          <w:lang w:eastAsia="ru-RU"/>
        </w:rPr>
        <w:t> </w:t>
      </w:r>
      <w:r>
        <w:rPr>
          <w:rFonts w:ascii="Times New Roman CYR" w:hAnsi="Times New Roman CYR" w:cs="Times New Roman CYR"/>
          <w:b/>
          <w:sz w:val="26"/>
          <w:szCs w:val="26"/>
          <w:lang w:eastAsia="ru-RU"/>
        </w:rPr>
        <w:t>536,75</w:t>
      </w:r>
      <w:r w:rsidRPr="00016F4E">
        <w:rPr>
          <w:rFonts w:ascii="Times New Roman CYR" w:hAnsi="Times New Roman CYR" w:cs="Times New Roman CYR"/>
          <w:b/>
          <w:sz w:val="26"/>
          <w:szCs w:val="26"/>
          <w:lang w:eastAsia="ru-RU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рублей, 2025 году – </w:t>
      </w:r>
      <w:r w:rsidRPr="003809F6">
        <w:rPr>
          <w:rFonts w:ascii="Times New Roman CYR" w:hAnsi="Times New Roman CYR" w:cs="Times New Roman CYR"/>
          <w:b/>
          <w:sz w:val="26"/>
          <w:szCs w:val="26"/>
          <w:lang w:eastAsia="ru-RU"/>
        </w:rPr>
        <w:t>3 070 665,06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рублей.</w:t>
      </w:r>
    </w:p>
    <w:p w:rsidR="00933753" w:rsidRDefault="00933753" w:rsidP="0093375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6"/>
          <w:szCs w:val="26"/>
          <w:lang w:eastAsia="ru-RU"/>
        </w:rPr>
      </w:pPr>
    </w:p>
    <w:p w:rsidR="00933753" w:rsidRDefault="00933753" w:rsidP="0093375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6"/>
          <w:szCs w:val="26"/>
          <w:lang w:eastAsia="ru-RU"/>
        </w:rPr>
      </w:pPr>
      <w:r w:rsidRPr="008727FF">
        <w:rPr>
          <w:rFonts w:ascii="Times New Roman CYR" w:hAnsi="Times New Roman CYR" w:cs="Times New Roman CYR"/>
          <w:b/>
          <w:sz w:val="26"/>
          <w:szCs w:val="26"/>
          <w:lang w:eastAsia="ru-RU"/>
        </w:rPr>
        <w:t>Объем инвестиций в основной капитал (за исключением бюджетных средств) в расчете на одного жителя (рублей) наглядно представлен на рис.3.</w:t>
      </w:r>
    </w:p>
    <w:p w:rsidR="00933753" w:rsidRDefault="00933753" w:rsidP="0093375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6"/>
          <w:szCs w:val="26"/>
          <w:lang w:eastAsia="ru-RU"/>
        </w:rPr>
      </w:pPr>
    </w:p>
    <w:p w:rsidR="00933753" w:rsidRPr="008727FF" w:rsidRDefault="00933753" w:rsidP="00933753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ru-RU"/>
        </w:rPr>
      </w:pPr>
      <w:r w:rsidRPr="008727FF">
        <w:rPr>
          <w:rFonts w:ascii="Times New Roman CYR" w:hAnsi="Times New Roman CYR" w:cs="Times New Roman CYR"/>
          <w:noProof/>
          <w:sz w:val="22"/>
          <w:szCs w:val="22"/>
          <w:lang w:eastAsia="ru-RU"/>
        </w:rPr>
        <w:drawing>
          <wp:inline distT="0" distB="0" distL="0" distR="0">
            <wp:extent cx="5918004" cy="1951892"/>
            <wp:effectExtent l="19050" t="0" r="25596" b="0"/>
            <wp:docPr id="7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33753" w:rsidRDefault="00933753" w:rsidP="0093375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lang w:eastAsia="ru-RU"/>
        </w:rPr>
      </w:pPr>
      <w:r w:rsidRPr="008727FF">
        <w:rPr>
          <w:rFonts w:ascii="Times New Roman CYR" w:hAnsi="Times New Roman CYR" w:cs="Times New Roman CYR"/>
          <w:b/>
          <w:lang w:eastAsia="ru-RU"/>
        </w:rPr>
        <w:t>Рис. 3. Объем инвестиций в основной капитал (за исключением бюджетных средств)</w:t>
      </w:r>
      <w:r>
        <w:rPr>
          <w:rFonts w:ascii="Times New Roman CYR" w:hAnsi="Times New Roman CYR" w:cs="Times New Roman CYR"/>
          <w:b/>
          <w:lang w:eastAsia="ru-RU"/>
        </w:rPr>
        <w:t xml:space="preserve"> </w:t>
      </w:r>
      <w:r w:rsidRPr="008727FF">
        <w:rPr>
          <w:rFonts w:ascii="Times New Roman CYR" w:hAnsi="Times New Roman CYR" w:cs="Times New Roman CYR"/>
          <w:b/>
          <w:lang w:eastAsia="ru-RU"/>
        </w:rPr>
        <w:t>в расчете на 1 жителя, руб.</w:t>
      </w:r>
    </w:p>
    <w:p w:rsidR="00933753" w:rsidRPr="008727FF" w:rsidRDefault="00933753" w:rsidP="0093375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lang w:eastAsia="ru-RU"/>
        </w:rPr>
      </w:pPr>
    </w:p>
    <w:p w:rsidR="008D20A5" w:rsidRDefault="008D20A5"/>
    <w:sectPr w:rsidR="008D20A5" w:rsidSect="00AA1D88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753"/>
    <w:rsid w:val="005D078E"/>
    <w:rsid w:val="008D20A5"/>
    <w:rsid w:val="00933753"/>
    <w:rsid w:val="00AA1D88"/>
    <w:rsid w:val="00B72080"/>
    <w:rsid w:val="00E2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7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3375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5">
    <w:name w:val="Абзац списка Знак"/>
    <w:link w:val="a4"/>
    <w:uiPriority w:val="34"/>
    <w:locked/>
    <w:rsid w:val="00933753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37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75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/>
              <a:t>Объем инвестиций в основной капитал (за исключением бюджетных средств) в расчете на 1 жителя (рублей)</a:t>
            </a:r>
          </a:p>
        </c:rich>
      </c:tx>
      <c:layout>
        <c:manualLayout>
          <c:xMode val="edge"/>
          <c:yMode val="edge"/>
          <c:x val="0.14627967285058838"/>
          <c:y val="3.4946225463691014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65445903642687"/>
          <c:y val="0.29095021331955456"/>
          <c:w val="0.84339221959912225"/>
          <c:h val="0.501783312305978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субъектов малого и среднего предпринимательства, единиц на 10000 человек населения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963694394574127E-2"/>
                  <c:y val="-3.9865874488805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892137136358851E-3"/>
                  <c:y val="-3.9051772917264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2051265135844033E-3"/>
                  <c:y val="-3.7098729236562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 </a:t>
                    </a:r>
                    <a:r>
                      <a:rPr lang="ru-RU"/>
                      <a:t>613 207,17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263434226657735E-2"/>
                  <c:y val="-1.739734061015164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 </a:t>
                    </a:r>
                    <a:r>
                      <a:rPr lang="ru-RU"/>
                      <a:t>854 536,75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106149208907229E-2"/>
                  <c:y val="-3.272929562259550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ru-RU" baseline="0"/>
                      <a:t> 070 665,06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4192061270617637E-2"/>
                  <c:y val="-2.54220215391645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2289766970618206E-2"/>
                  <c:y val="-3.90516039051604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2021</c:v>
                </c:pt>
                <c:pt idx="1">
                  <c:v>2022</c:v>
                </c:pt>
                <c:pt idx="2">
                  <c:v>2023 прогноз</c:v>
                </c:pt>
                <c:pt idx="3">
                  <c:v>2024 прогноз</c:v>
                </c:pt>
                <c:pt idx="4">
                  <c:v>2025 прогноз</c:v>
                </c:pt>
              </c:strCache>
            </c:strRef>
          </c:cat>
          <c:val>
            <c:numRef>
              <c:f>Лист1!$B$2:$B$6</c:f>
              <c:numCache>
                <c:formatCode>#,##0.00</c:formatCode>
                <c:ptCount val="5"/>
                <c:pt idx="0">
                  <c:v>2573584.3299999987</c:v>
                </c:pt>
                <c:pt idx="1">
                  <c:v>2359557.16</c:v>
                </c:pt>
                <c:pt idx="2">
                  <c:v>2613207.17</c:v>
                </c:pt>
                <c:pt idx="3">
                  <c:v>2854536.75</c:v>
                </c:pt>
                <c:pt idx="4">
                  <c:v>3070665.06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8062720"/>
        <c:axId val="110671488"/>
        <c:axId val="0"/>
      </c:bar3DChart>
      <c:catAx>
        <c:axId val="148062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0671488"/>
        <c:crosses val="autoZero"/>
        <c:auto val="1"/>
        <c:lblAlgn val="ctr"/>
        <c:lblOffset val="100"/>
        <c:noMultiLvlLbl val="0"/>
      </c:catAx>
      <c:valAx>
        <c:axId val="110671488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txPr>
          <a:bodyPr/>
          <a:lstStyle/>
          <a:p>
            <a:pPr>
              <a:defRPr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8062720"/>
        <c:crosses val="autoZero"/>
        <c:crossBetween val="between"/>
      </c:valAx>
      <c:spPr>
        <a:noFill/>
        <a:ln w="44774">
          <a:noFill/>
        </a:ln>
      </c:spPr>
    </c:plotArea>
    <c:plotVisOnly val="1"/>
    <c:dispBlanksAs val="gap"/>
    <c:showDLblsOverMax val="0"/>
  </c:chart>
  <c:spPr>
    <a:solidFill>
      <a:schemeClr val="tx2">
        <a:lumMod val="40000"/>
        <a:lumOff val="60000"/>
      </a:schemeClr>
    </a:soli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Дохторова Надежда Ивановна</cp:lastModifiedBy>
  <cp:revision>3</cp:revision>
  <cp:lastPrinted>2023-05-18T05:23:00Z</cp:lastPrinted>
  <dcterms:created xsi:type="dcterms:W3CDTF">2023-05-18T05:16:00Z</dcterms:created>
  <dcterms:modified xsi:type="dcterms:W3CDTF">2023-11-17T09:34:00Z</dcterms:modified>
</cp:coreProperties>
</file>