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4580"/>
      </w:tblGrid>
      <w:tr>
        <w:tblPrEx/>
        <w:trPr>
          <w:trHeight w:val="113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883"/>
              <w:jc w:val="center"/>
              <w:rPr>
                <w:sz w:val="28"/>
                <w:szCs w:val="28"/>
              </w:rPr>
            </w:pPr>
            <w:r>
              <w:rPr>
                <w:sz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61912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9862286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3" cy="619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48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ПОСТАНОВЛЕНИЕ</w:t>
            </w:r>
            <w:r>
              <w:rPr>
                <w:b/>
                <w:sz w:val="40"/>
                <w:szCs w:val="40"/>
              </w:rPr>
            </w:r>
            <w:r>
              <w:rPr>
                <w:b/>
                <w:sz w:val="40"/>
                <w:szCs w:val="40"/>
              </w:rPr>
            </w:r>
          </w:p>
          <w:p>
            <w:pPr>
              <w:pStyle w:val="8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pStyle w:val="883"/>
              <w:rPr>
                <w:sz w:val="28"/>
              </w:rPr>
            </w:pP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___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_________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 xml:space="preserve">___</w:t>
            </w:r>
            <w:r>
              <w:rPr>
                <w:sz w:val="28"/>
              </w:rPr>
              <w:t xml:space="preserve"> г.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80" w:type="dxa"/>
            <w:vAlign w:val="center"/>
            <w:textDirection w:val="lrTb"/>
            <w:noWrap w:val="false"/>
          </w:tcPr>
          <w:p>
            <w:pPr>
              <w:pStyle w:val="883"/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 _______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83"/>
              <w:ind w:left="1962"/>
              <w:jc w:val="righ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rPr>
                <w:sz w:val="28"/>
              </w:rPr>
            </w:pPr>
            <w:r>
              <w:t xml:space="preserve">г</w:t>
            </w:r>
            <w:r>
              <w:t xml:space="preserve">п</w:t>
            </w:r>
            <w:r>
              <w:t xml:space="preserve"> Северо-Енисейский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8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административного регламента предоставления администрац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ей Северо-Енисейского района муниципальной услуги «</w:t>
      </w:r>
      <w:r>
        <w:rPr>
          <w:sz w:val="28"/>
          <w:szCs w:val="28"/>
        </w:rPr>
        <w:t xml:space="preserve">Предоставление жилого помещения по договору социального найма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3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целях уточнения административного регламента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ярского края от 05.12.2024 № 8-3416 «О наделении муниципального образования Северо-Енисейский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пальный район Красноярского края статусом муниципального округа и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сении изменений в отдельные Законы края»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постанов</w:t>
      </w:r>
      <w:r>
        <w:rPr>
          <w:sz w:val="28"/>
          <w:szCs w:val="28"/>
        </w:rPr>
        <w:t xml:space="preserve">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 и статьей 46 Устава Северо-Енисейского муниципального округа, 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i w:val="0"/>
          <w:iCs w:val="0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 № 344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Об утверждении административного регламента предоставления администрац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ей Северо-Енисейского района муниципальной услуги «</w:t>
      </w:r>
      <w:r>
        <w:rPr>
          <w:sz w:val="28"/>
          <w:szCs w:val="28"/>
        </w:rPr>
        <w:t xml:space="preserve">Предоставление жилого помещения по договору социального найма</w:t>
      </w:r>
      <w:r>
        <w:rPr>
          <w:sz w:val="28"/>
          <w:szCs w:val="28"/>
        </w:rPr>
        <w:t xml:space="preserve">» </w:t>
      </w:r>
      <w:r>
        <w:rPr>
          <w:i w:val="0"/>
          <w:iCs w:val="0"/>
          <w:color w:val="000000" w:themeColor="text1"/>
          <w:sz w:val="28"/>
          <w:szCs w:val="28"/>
        </w:rPr>
        <w:t xml:space="preserve">(в </w:t>
      </w:r>
      <w:r>
        <w:rPr>
          <w:i w:val="0"/>
          <w:iCs w:val="0"/>
          <w:color w:val="000000" w:themeColor="text1"/>
          <w:sz w:val="28"/>
          <w:szCs w:val="28"/>
        </w:rPr>
        <w:t xml:space="preserve">редакции </w:t>
      </w:r>
      <w:r>
        <w:rPr>
          <w:i w:val="0"/>
          <w:iCs w:val="0"/>
          <w:color w:val="000000" w:themeColor="text1"/>
          <w:sz w:val="28"/>
          <w:szCs w:val="28"/>
        </w:rPr>
        <w:t xml:space="preserve">постановлени</w:t>
      </w:r>
      <w:r>
        <w:rPr>
          <w:i w:val="0"/>
          <w:iCs w:val="0"/>
          <w:color w:val="000000" w:themeColor="text1"/>
          <w:sz w:val="28"/>
          <w:szCs w:val="28"/>
        </w:rPr>
        <w:t xml:space="preserve">й</w:t>
      </w:r>
      <w:r>
        <w:rPr>
          <w:i w:val="0"/>
          <w:iCs w:val="0"/>
          <w:color w:val="000000" w:themeColor="text1"/>
          <w:sz w:val="28"/>
          <w:szCs w:val="28"/>
        </w:rPr>
        <w:t xml:space="preserve"> администрации Северо-Енисейского района 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от  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20.04.2022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№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 174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-п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 , от  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27.06.2022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 №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 291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-п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, </w:t>
      </w:r>
      <w:r>
        <w:rPr>
          <w:b w:val="0"/>
          <w:i w:val="0"/>
          <w:iCs w:val="0"/>
          <w:color w:val="000000" w:themeColor="text1"/>
          <w:sz w:val="28"/>
          <w:szCs w:val="28"/>
        </w:rPr>
        <w:t xml:space="preserve">от  30.05.2024 № 221-п</w:t>
      </w:r>
      <w:r>
        <w:rPr>
          <w:i w:val="0"/>
          <w:iCs w:val="0"/>
          <w:color w:val="000000" w:themeColor="text1"/>
          <w:sz w:val="28"/>
          <w:szCs w:val="28"/>
        </w:rPr>
        <w:t xml:space="preserve">)</w:t>
      </w:r>
      <w:r>
        <w:rPr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</w:rPr>
        <w:t xml:space="preserve">(далее -  постановление)</w:t>
      </w:r>
      <w:r>
        <w:rPr>
          <w:i w:val="0"/>
          <w:iCs w:val="0"/>
          <w:color w:val="000000" w:themeColor="text1"/>
          <w:sz w:val="28"/>
          <w:szCs w:val="28"/>
        </w:rPr>
        <w:t xml:space="preserve"> следующие изменения: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pStyle w:val="883"/>
        <w:ind w:firstLine="74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в наименовании</w:t>
      </w:r>
      <w:r>
        <w:rPr>
          <w:sz w:val="28"/>
          <w:szCs w:val="28"/>
        </w:rPr>
        <w:t xml:space="preserve">, преамбуле, пункте 1 </w:t>
      </w:r>
      <w:r>
        <w:rPr>
          <w:sz w:val="28"/>
          <w:szCs w:val="28"/>
        </w:rPr>
        <w:t xml:space="preserve">постановления  слова </w:t>
      </w:r>
      <w:r>
        <w:rPr>
          <w:sz w:val="28"/>
          <w:szCs w:val="28"/>
        </w:rPr>
        <w:t xml:space="preserve">«Северо-Енисейского района» заменить словами «Северо-Енисейского муниципального округа»;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 по тексту </w:t>
      </w:r>
      <w:r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 xml:space="preserve">(далее – Административный регламент)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«Северо-Енисейского района» </w:t>
      </w:r>
      <w:r>
        <w:rPr>
          <w:b w:val="0"/>
          <w:bCs w:val="0"/>
          <w:sz w:val="28"/>
          <w:szCs w:val="28"/>
        </w:rPr>
        <w:t xml:space="preserve">заменить словами</w:t>
      </w:r>
      <w:r>
        <w:rPr>
          <w:sz w:val="28"/>
          <w:szCs w:val="28"/>
        </w:rPr>
        <w:t xml:space="preserve"> «Северо-Енисейского муниципального округа» </w:t>
      </w:r>
      <w:r>
        <w:rPr>
          <w:b w:val="0"/>
          <w:bCs w:val="0"/>
          <w:sz w:val="28"/>
          <w:szCs w:val="28"/>
        </w:rPr>
        <w:t xml:space="preserve">в соответствующем падеже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3) по </w:t>
      </w:r>
      <w:r>
        <w:rPr>
          <w:color w:val="000000"/>
          <w:sz w:val="28"/>
          <w:szCs w:val="28"/>
        </w:rPr>
        <w:t xml:space="preserve">тексту </w:t>
      </w:r>
      <w:r>
        <w:rPr>
          <w:sz w:val="28"/>
          <w:szCs w:val="28"/>
        </w:rPr>
        <w:t xml:space="preserve">Административного регламента 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районная жилищная комиссия</w:t>
      </w:r>
      <w:r>
        <w:rPr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заменить 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окружная жилищная комиссия</w:t>
      </w:r>
      <w:r>
        <w:rPr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в соответствующем падеже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4) по </w:t>
      </w:r>
      <w:r>
        <w:rPr>
          <w:color w:val="000000"/>
          <w:sz w:val="28"/>
          <w:szCs w:val="28"/>
        </w:rPr>
        <w:t xml:space="preserve">тексту </w:t>
      </w: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районным Советом депутатов</w:t>
      </w:r>
      <w:r>
        <w:rPr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заменить 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окружным Советом депутатов</w:t>
      </w:r>
      <w:r>
        <w:rPr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в соответствующем падеже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риложениях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, 2, 3 и 4 к </w:t>
      </w:r>
      <w:r>
        <w:rPr>
          <w:sz w:val="28"/>
          <w:szCs w:val="28"/>
        </w:rPr>
        <w:t xml:space="preserve">Административному регламенту</w:t>
      </w:r>
      <w:r>
        <w:rPr>
          <w:sz w:val="28"/>
          <w:szCs w:val="28"/>
        </w:rPr>
        <w:t xml:space="preserve"> слова  «</w:t>
      </w:r>
      <w:r>
        <w:rPr>
          <w:color w:val="000000"/>
          <w:sz w:val="28"/>
          <w:szCs w:val="28"/>
        </w:rPr>
        <w:t xml:space="preserve">Северо-Енисейского района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заменить словами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Северо-Енисейского муниципального округа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дня, следующего за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нем его официального опубликования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газете «Северо-Енисейский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естник» </w:t>
      </w:r>
      <w:r>
        <w:rPr>
          <w:sz w:val="28"/>
          <w:szCs w:val="28"/>
        </w:rPr>
        <w:t xml:space="preserve">и подлежит размещению на официальном сайте Северо-Енисейск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в информационно-телек</w:t>
      </w:r>
      <w:r>
        <w:rPr>
          <w:sz w:val="28"/>
          <w:szCs w:val="28"/>
        </w:rPr>
        <w:t xml:space="preserve">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40" w:firstLine="0"/>
        <w:spacing w:after="0"/>
        <w:shd w:val="clear" w:color="auto" w:fill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</w:t>
        <w:tab/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А.Н. Рябцев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Bookman Old Style">
    <w:panose1 w:val="020606030506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20" w:hanging="360"/>
        <w:tabs>
          <w:tab w:val="num" w:pos="16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640" w:hanging="360"/>
        <w:tabs>
          <w:tab w:val="num" w:pos="264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3000" w:hanging="360"/>
        <w:tabs>
          <w:tab w:val="num" w:pos="30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720" w:hanging="360"/>
        <w:tabs>
          <w:tab w:val="num" w:pos="37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440" w:hanging="360"/>
        <w:tabs>
          <w:tab w:val="num" w:pos="44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160" w:hanging="360"/>
        <w:tabs>
          <w:tab w:val="num" w:pos="51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80" w:hanging="360"/>
        <w:tabs>
          <w:tab w:val="num" w:pos="58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600" w:hanging="360"/>
        <w:tabs>
          <w:tab w:val="num" w:pos="66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320" w:hanging="360"/>
        <w:tabs>
          <w:tab w:val="num" w:pos="73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040" w:hanging="360"/>
        <w:tabs>
          <w:tab w:val="num" w:pos="804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12"/>
  </w:num>
  <w:num w:numId="5">
    <w:abstractNumId w:val="5"/>
  </w:num>
  <w:num w:numId="6">
    <w:abstractNumId w:val="15"/>
  </w:num>
  <w:num w:numId="7">
    <w:abstractNumId w:val="22"/>
  </w:num>
  <w:num w:numId="8">
    <w:abstractNumId w:val="19"/>
  </w:num>
  <w:num w:numId="9">
    <w:abstractNumId w:val="8"/>
  </w:num>
  <w:num w:numId="10">
    <w:abstractNumId w:val="24"/>
  </w:num>
  <w:num w:numId="11">
    <w:abstractNumId w:val="0"/>
  </w:num>
  <w:num w:numId="12">
    <w:abstractNumId w:val="21"/>
  </w:num>
  <w:num w:numId="13">
    <w:abstractNumId w:val="14"/>
  </w:num>
  <w:num w:numId="14">
    <w:abstractNumId w:val="25"/>
  </w:num>
  <w:num w:numId="15">
    <w:abstractNumId w:val="23"/>
  </w:num>
  <w:num w:numId="16">
    <w:abstractNumId w:val="1"/>
  </w:num>
  <w:num w:numId="17">
    <w:abstractNumId w:val="18"/>
  </w:num>
  <w:num w:numId="18">
    <w:abstractNumId w:val="2"/>
  </w:num>
  <w:num w:numId="19">
    <w:abstractNumId w:val="11"/>
  </w:num>
  <w:num w:numId="20">
    <w:abstractNumId w:val="6"/>
  </w:num>
  <w:num w:numId="21">
    <w:abstractNumId w:val="13"/>
  </w:num>
  <w:num w:numId="22">
    <w:abstractNumId w:val="4"/>
  </w:num>
  <w:num w:numId="23">
    <w:abstractNumId w:val="9"/>
  </w:num>
  <w:num w:numId="24">
    <w:abstractNumId w:val="3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3"/>
    <w:next w:val="88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3"/>
    <w:next w:val="88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3"/>
    <w:next w:val="88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3"/>
    <w:uiPriority w:val="34"/>
    <w:qFormat/>
    <w:pPr>
      <w:contextualSpacing/>
      <w:ind w:left="720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sz w:val="24"/>
      <w:szCs w:val="24"/>
      <w:lang w:val="ru-RU" w:eastAsia="ru-RU" w:bidi="ar-SA"/>
    </w:rPr>
  </w:style>
  <w:style w:type="paragraph" w:styleId="884">
    <w:name w:val="Заголовок 1"/>
    <w:basedOn w:val="883"/>
    <w:next w:val="883"/>
    <w:link w:val="883"/>
    <w:qFormat/>
    <w:pPr>
      <w:jc w:val="center"/>
      <w:keepNext/>
      <w:spacing w:line="480" w:lineRule="auto"/>
      <w:outlineLvl w:val="0"/>
    </w:pPr>
    <w:rPr>
      <w:rFonts w:ascii="Bookman Old Style" w:hAnsi="Bookman Old Style" w:cs="Arial"/>
      <w:b/>
      <w:bCs/>
      <w:sz w:val="13"/>
    </w:rPr>
  </w:style>
  <w:style w:type="character" w:styleId="885">
    <w:name w:val="Основной шрифт абзаца"/>
    <w:next w:val="885"/>
    <w:link w:val="883"/>
    <w:semiHidden/>
  </w:style>
  <w:style w:type="table" w:styleId="886">
    <w:name w:val="Обычная таблица"/>
    <w:next w:val="886"/>
    <w:link w:val="883"/>
    <w:semiHidden/>
    <w:tblPr/>
  </w:style>
  <w:style w:type="numbering" w:styleId="887">
    <w:name w:val="Нет списка"/>
    <w:next w:val="887"/>
    <w:link w:val="883"/>
    <w:semiHidden/>
  </w:style>
  <w:style w:type="paragraph" w:styleId="888">
    <w:name w:val="ConsPlusNormal"/>
    <w:next w:val="888"/>
    <w:link w:val="883"/>
    <w:pPr>
      <w:ind w:firstLine="720"/>
    </w:pPr>
    <w:rPr>
      <w:rFonts w:ascii="Arial" w:hAnsi="Arial" w:cs="Arial"/>
      <w:lang w:val="ru-RU" w:eastAsia="ru-RU" w:bidi="ar-SA"/>
    </w:rPr>
  </w:style>
  <w:style w:type="paragraph" w:styleId="889">
    <w:name w:val="Основной текст"/>
    <w:basedOn w:val="883"/>
    <w:next w:val="889"/>
    <w:link w:val="883"/>
    <w:pPr>
      <w:jc w:val="both"/>
    </w:pPr>
    <w:rPr>
      <w:sz w:val="28"/>
      <w:szCs w:val="20"/>
    </w:rPr>
  </w:style>
  <w:style w:type="paragraph" w:styleId="890">
    <w:name w:val="ConsPlusTitle"/>
    <w:next w:val="890"/>
    <w:link w:val="883"/>
    <w:pPr>
      <w:widowControl w:val="off"/>
    </w:pPr>
    <w:rPr>
      <w:rFonts w:ascii="Arial" w:hAnsi="Arial" w:cs="Arial"/>
      <w:b/>
      <w:bCs/>
      <w:lang w:val="ru-RU" w:eastAsia="ru-RU" w:bidi="ar-SA"/>
    </w:rPr>
  </w:style>
  <w:style w:type="table" w:styleId="891">
    <w:name w:val="Сетка таблицы"/>
    <w:basedOn w:val="886"/>
    <w:next w:val="891"/>
    <w:link w:val="883"/>
    <w:tblPr/>
  </w:style>
  <w:style w:type="paragraph" w:styleId="892">
    <w:name w:val="Название"/>
    <w:basedOn w:val="883"/>
    <w:next w:val="892"/>
    <w:link w:val="896"/>
    <w:qFormat/>
    <w:pPr>
      <w:jc w:val="center"/>
    </w:pPr>
    <w:rPr>
      <w:b/>
      <w:sz w:val="28"/>
      <w:szCs w:val="20"/>
    </w:rPr>
  </w:style>
  <w:style w:type="paragraph" w:styleId="893">
    <w:name w:val="Style5"/>
    <w:basedOn w:val="883"/>
    <w:next w:val="893"/>
    <w:link w:val="883"/>
    <w:pPr>
      <w:jc w:val="center"/>
      <w:spacing w:line="365" w:lineRule="exact"/>
      <w:widowControl w:val="off"/>
    </w:pPr>
  </w:style>
  <w:style w:type="paragraph" w:styleId="894">
    <w:name w:val="Основной текст с отступом 21"/>
    <w:basedOn w:val="883"/>
    <w:next w:val="894"/>
    <w:link w:val="883"/>
    <w:pPr>
      <w:ind w:firstLine="720"/>
      <w:jc w:val="both"/>
      <w:spacing w:before="100" w:after="100"/>
      <w:shd w:val="clear" w:color="auto" w:fill="ffffff"/>
    </w:pPr>
    <w:rPr>
      <w:color w:val="000000"/>
      <w:szCs w:val="26"/>
      <w:lang w:eastAsia="ar-SA"/>
    </w:rPr>
  </w:style>
  <w:style w:type="character" w:styleId="895">
    <w:name w:val="Font Style12"/>
    <w:basedOn w:val="885"/>
    <w:next w:val="895"/>
    <w:link w:val="883"/>
    <w:rPr>
      <w:rFonts w:ascii="Times New Roman" w:hAnsi="Times New Roman" w:cs="Times New Roman"/>
      <w:b/>
      <w:bCs/>
      <w:sz w:val="28"/>
      <w:szCs w:val="28"/>
    </w:rPr>
  </w:style>
  <w:style w:type="character" w:styleId="896">
    <w:name w:val="Название Знак"/>
    <w:next w:val="896"/>
    <w:link w:val="892"/>
    <w:rPr>
      <w:b/>
      <w:sz w:val="28"/>
      <w:lang w:val="ru-RU" w:eastAsia="ru-RU" w:bidi="ar-SA"/>
    </w:rPr>
  </w:style>
  <w:style w:type="paragraph" w:styleId="897">
    <w:name w:val="No Spacing"/>
    <w:next w:val="897"/>
    <w:link w:val="883"/>
    <w:pPr>
      <w:widowControl w:val="off"/>
    </w:pPr>
    <w:rPr>
      <w:lang w:val="ru-RU" w:eastAsia="ru-RU" w:bidi="ar-SA"/>
    </w:rPr>
  </w:style>
  <w:style w:type="character" w:styleId="898">
    <w:name w:val="Гиперссылка"/>
    <w:next w:val="898"/>
    <w:link w:val="883"/>
    <w:unhideWhenUsed/>
    <w:rPr>
      <w:color w:val="0000ff"/>
      <w:u w:val="single"/>
    </w:rPr>
  </w:style>
  <w:style w:type="paragraph" w:styleId="899">
    <w:name w:val="ConsPlusNonformat"/>
    <w:next w:val="899"/>
    <w:link w:val="883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00">
    <w:name w:val="Основной текст_"/>
    <w:basedOn w:val="885"/>
    <w:next w:val="900"/>
    <w:link w:val="901"/>
    <w:rPr>
      <w:sz w:val="26"/>
      <w:szCs w:val="26"/>
      <w:shd w:val="clear" w:color="auto" w:fill="ffffff"/>
    </w:rPr>
  </w:style>
  <w:style w:type="paragraph" w:styleId="901">
    <w:name w:val="Основной текст2"/>
    <w:basedOn w:val="883"/>
    <w:next w:val="901"/>
    <w:link w:val="900"/>
    <w:pPr>
      <w:ind w:hanging="560"/>
      <w:jc w:val="both"/>
      <w:spacing w:after="300" w:line="322" w:lineRule="exact"/>
      <w:shd w:val="clear" w:color="auto" w:fill="ffffff"/>
    </w:pPr>
    <w:rPr>
      <w:sz w:val="26"/>
      <w:szCs w:val="26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 Северо-Енисейского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Айдарова Ольга Анисовна</dc:creator>
  <cp:revision>27</cp:revision>
  <dcterms:created xsi:type="dcterms:W3CDTF">2011-10-06T05:13:00Z</dcterms:created>
  <dcterms:modified xsi:type="dcterms:W3CDTF">2025-05-14T02:28:38Z</dcterms:modified>
  <cp:version>786432</cp:version>
</cp:coreProperties>
</file>